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0" w:type="dxa"/>
        <w:tblLook w:val="04A0" w:firstRow="1" w:lastRow="0" w:firstColumn="1" w:lastColumn="0" w:noHBand="0" w:noVBand="1"/>
      </w:tblPr>
      <w:tblGrid>
        <w:gridCol w:w="4331"/>
        <w:gridCol w:w="3744"/>
        <w:gridCol w:w="6095"/>
      </w:tblGrid>
      <w:tr w:rsidR="00D634E8">
        <w:tc>
          <w:tcPr>
            <w:tcW w:w="4331" w:type="dxa"/>
          </w:tcPr>
          <w:p w:rsidR="00D634E8" w:rsidRDefault="00D634E8">
            <w:pPr>
              <w:tabs>
                <w:tab w:val="center" w:pos="4513"/>
                <w:tab w:val="right" w:pos="9026"/>
              </w:tabs>
              <w:rPr>
                <w:sz w:val="22"/>
                <w:szCs w:val="22"/>
                <w:lang w:val="en-US"/>
              </w:rPr>
            </w:pPr>
          </w:p>
          <w:p w:rsidR="00D634E8" w:rsidRDefault="00D634E8">
            <w:pPr>
              <w:rPr>
                <w:sz w:val="22"/>
                <w:szCs w:val="22"/>
              </w:rPr>
            </w:pPr>
          </w:p>
        </w:tc>
        <w:tc>
          <w:tcPr>
            <w:tcW w:w="3744" w:type="dxa"/>
          </w:tcPr>
          <w:p w:rsidR="00D634E8" w:rsidRDefault="00D634E8">
            <w:pPr>
              <w:rPr>
                <w:sz w:val="22"/>
                <w:szCs w:val="22"/>
              </w:rPr>
            </w:pPr>
          </w:p>
        </w:tc>
        <w:tc>
          <w:tcPr>
            <w:tcW w:w="6095" w:type="dxa"/>
          </w:tcPr>
          <w:p w:rsidR="00D634E8" w:rsidRDefault="00F37FDA">
            <w:pPr>
              <w:rPr>
                <w:rFonts w:eastAsia="Calibri"/>
                <w:szCs w:val="24"/>
              </w:rPr>
            </w:pPr>
            <w:r>
              <w:rPr>
                <w:rFonts w:eastAsia="Calibri"/>
                <w:szCs w:val="24"/>
              </w:rPr>
              <w:t>Tvarios miesto plėtros strategijų ir funkcinių zonų strategijų rengimo ir įgyvendinimo stebėsenos tvarkos aprašo</w:t>
            </w:r>
          </w:p>
          <w:p w:rsidR="00D634E8" w:rsidRDefault="00F37FDA">
            <w:pPr>
              <w:rPr>
                <w:sz w:val="22"/>
                <w:szCs w:val="22"/>
                <w:highlight w:val="yellow"/>
              </w:rPr>
            </w:pPr>
            <w:r>
              <w:rPr>
                <w:rFonts w:eastAsia="Calibri"/>
                <w:szCs w:val="24"/>
                <w:lang w:val="en-US"/>
              </w:rPr>
              <w:t>6 priedas</w:t>
            </w:r>
          </w:p>
        </w:tc>
      </w:tr>
    </w:tbl>
    <w:p w:rsidR="00D634E8" w:rsidRDefault="00D634E8">
      <w:pPr>
        <w:rPr>
          <w:sz w:val="14"/>
          <w:szCs w:val="14"/>
        </w:rPr>
      </w:pPr>
    </w:p>
    <w:p w:rsidR="00A711B0" w:rsidRPr="000E06B0" w:rsidRDefault="00A711B0" w:rsidP="00A711B0">
      <w:pPr>
        <w:jc w:val="center"/>
        <w:rPr>
          <w:szCs w:val="24"/>
          <w:lang w:eastAsia="lt-LT"/>
        </w:rPr>
      </w:pPr>
      <w:r w:rsidRPr="000E06B0">
        <w:rPr>
          <w:b/>
          <w:bCs/>
          <w:szCs w:val="24"/>
          <w:lang w:eastAsia="lt-LT"/>
        </w:rPr>
        <w:t>INFORMACIJA APIE</w:t>
      </w:r>
      <w:r w:rsidRPr="000E06B0">
        <w:rPr>
          <w:szCs w:val="24"/>
          <w:lang w:eastAsia="lt-LT"/>
        </w:rPr>
        <w:t xml:space="preserve"> </w:t>
      </w:r>
      <w:r w:rsidRPr="00DB09CC">
        <w:rPr>
          <w:b/>
          <w:color w:val="000000" w:themeColor="text1"/>
          <w:szCs w:val="24"/>
          <w:lang w:eastAsia="lt-LT"/>
        </w:rPr>
        <w:t>202</w:t>
      </w:r>
      <w:r w:rsidR="003F511F">
        <w:rPr>
          <w:b/>
          <w:color w:val="000000" w:themeColor="text1"/>
          <w:szCs w:val="24"/>
          <w:lang w:eastAsia="lt-LT"/>
        </w:rPr>
        <w:t>4</w:t>
      </w:r>
      <w:r w:rsidRPr="00DB09CC">
        <w:rPr>
          <w:b/>
          <w:color w:val="000000" w:themeColor="text1"/>
          <w:szCs w:val="24"/>
          <w:lang w:eastAsia="lt-LT"/>
        </w:rPr>
        <w:t>–2029 M.</w:t>
      </w:r>
      <w:r w:rsidRPr="00DB09CC">
        <w:rPr>
          <w:b/>
          <w:color w:val="000000" w:themeColor="text1"/>
          <w:szCs w:val="24"/>
        </w:rPr>
        <w:t xml:space="preserve"> </w:t>
      </w:r>
      <w:r>
        <w:rPr>
          <w:b/>
          <w:color w:val="000000" w:themeColor="text1"/>
          <w:szCs w:val="24"/>
        </w:rPr>
        <w:t>VILNIAUS</w:t>
      </w:r>
      <w:r w:rsidRPr="00DB09CC">
        <w:rPr>
          <w:b/>
          <w:color w:val="000000" w:themeColor="text1"/>
          <w:szCs w:val="24"/>
        </w:rPr>
        <w:t xml:space="preserve"> REGIONO</w:t>
      </w:r>
      <w:r w:rsidRPr="00DB09CC">
        <w:rPr>
          <w:b/>
          <w:color w:val="000000" w:themeColor="text1"/>
          <w:szCs w:val="24"/>
          <w:lang w:eastAsia="lt-LT"/>
        </w:rPr>
        <w:t xml:space="preserve"> FUNKCINĖS ZONOS</w:t>
      </w:r>
      <w:r w:rsidRPr="000E06B0">
        <w:rPr>
          <w:szCs w:val="24"/>
          <w:lang w:eastAsia="lt-LT"/>
        </w:rPr>
        <w:t xml:space="preserve"> </w:t>
      </w:r>
      <w:r w:rsidRPr="000E06B0">
        <w:rPr>
          <w:b/>
          <w:bCs/>
          <w:szCs w:val="24"/>
          <w:lang w:eastAsia="lt-LT"/>
        </w:rPr>
        <w:t>STRATEGIJOS</w:t>
      </w:r>
    </w:p>
    <w:p w:rsidR="00413B8D" w:rsidRPr="00413B8D" w:rsidRDefault="00A711B0" w:rsidP="00A711B0">
      <w:pPr>
        <w:jc w:val="center"/>
        <w:rPr>
          <w:szCs w:val="24"/>
          <w:lang w:eastAsia="lt-LT"/>
        </w:rPr>
      </w:pPr>
      <w:r w:rsidRPr="000E06B0">
        <w:rPr>
          <w:b/>
          <w:bCs/>
          <w:szCs w:val="24"/>
          <w:lang w:eastAsia="lt-LT"/>
        </w:rPr>
        <w:t>ĮGYVENDINIMO PAŽANGĄ</w:t>
      </w:r>
      <w:r w:rsidRPr="00413B8D">
        <w:rPr>
          <w:b/>
          <w:bCs/>
          <w:szCs w:val="24"/>
          <w:lang w:eastAsia="lt-LT"/>
        </w:rPr>
        <w:t xml:space="preserve"> </w:t>
      </w:r>
    </w:p>
    <w:p w:rsidR="0053234C" w:rsidRDefault="0053234C">
      <w:pPr>
        <w:jc w:val="center"/>
        <w:rPr>
          <w:b/>
          <w:bCs/>
          <w:szCs w:val="24"/>
        </w:rPr>
      </w:pPr>
    </w:p>
    <w:p w:rsidR="00D634E8" w:rsidRPr="0053234C" w:rsidRDefault="00446BFA">
      <w:pPr>
        <w:jc w:val="center"/>
        <w:rPr>
          <w:b/>
          <w:bCs/>
          <w:szCs w:val="24"/>
          <w:u w:val="single"/>
        </w:rPr>
      </w:pPr>
      <w:r w:rsidRPr="0053234C">
        <w:rPr>
          <w:b/>
          <w:bCs/>
          <w:szCs w:val="24"/>
        </w:rPr>
        <w:t>2025-01-2</w:t>
      </w:r>
      <w:r w:rsidR="000A729A">
        <w:rPr>
          <w:b/>
          <w:bCs/>
          <w:szCs w:val="24"/>
        </w:rPr>
        <w:t>9</w:t>
      </w:r>
      <w:r w:rsidR="00654E44" w:rsidRPr="0053234C">
        <w:rPr>
          <w:b/>
          <w:bCs/>
          <w:szCs w:val="24"/>
          <w:u w:val="single"/>
        </w:rPr>
        <w:t xml:space="preserve">  </w:t>
      </w:r>
    </w:p>
    <w:p w:rsidR="00D634E8" w:rsidRDefault="00D634E8">
      <w:pPr>
        <w:jc w:val="center"/>
        <w:rPr>
          <w:b/>
          <w:szCs w:val="24"/>
          <w:highlight w:val="yellow"/>
          <w:u w:val="single"/>
        </w:rPr>
      </w:pPr>
    </w:p>
    <w:p w:rsidR="0053234C" w:rsidRDefault="0053234C">
      <w:pPr>
        <w:jc w:val="center"/>
        <w:rPr>
          <w:b/>
          <w:szCs w:val="24"/>
          <w:highlight w:val="yellow"/>
          <w:u w:val="single"/>
        </w:rPr>
      </w:pPr>
    </w:p>
    <w:p w:rsidR="00D634E8" w:rsidRDefault="00F37FDA">
      <w:pPr>
        <w:jc w:val="both"/>
        <w:rPr>
          <w:b/>
          <w:szCs w:val="24"/>
          <w:u w:val="single"/>
        </w:rPr>
      </w:pPr>
      <w:r>
        <w:rPr>
          <w:b/>
          <w:szCs w:val="24"/>
          <w:u w:val="single"/>
        </w:rPr>
        <w:t>1. Informacija apie Strategijos poveikio ir rezultato rodiklių reikšmių pasiekimą</w:t>
      </w:r>
    </w:p>
    <w:p w:rsidR="00D634E8" w:rsidRPr="00FC3DF0" w:rsidRDefault="00D634E8">
      <w:pPr>
        <w:jc w:val="both"/>
        <w:rPr>
          <w:b/>
          <w:sz w:val="22"/>
          <w:szCs w:val="22"/>
          <w:u w:val="single"/>
        </w:rPr>
      </w:pPr>
    </w:p>
    <w:tbl>
      <w:tblPr>
        <w:tblpPr w:leftFromText="180" w:rightFromText="180" w:vertAnchor="text" w:tblpY="1"/>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9"/>
        <w:gridCol w:w="2101"/>
        <w:gridCol w:w="1686"/>
        <w:gridCol w:w="1570"/>
        <w:gridCol w:w="1290"/>
        <w:gridCol w:w="2434"/>
        <w:gridCol w:w="2552"/>
      </w:tblGrid>
      <w:tr w:rsidR="00B30349" w:rsidRPr="00FC3DF0" w:rsidTr="009539BA">
        <w:tc>
          <w:tcPr>
            <w:tcW w:w="1829" w:type="dxa"/>
            <w:shd w:val="pct5" w:color="auto" w:fill="auto"/>
          </w:tcPr>
          <w:p w:rsidR="00D634E8" w:rsidRPr="00382CFC" w:rsidRDefault="00F37FDA" w:rsidP="00CC7E61">
            <w:pPr>
              <w:jc w:val="center"/>
              <w:rPr>
                <w:b/>
                <w:sz w:val="22"/>
                <w:szCs w:val="22"/>
              </w:rPr>
            </w:pPr>
            <w:r w:rsidRPr="00382CFC">
              <w:rPr>
                <w:b/>
                <w:sz w:val="22"/>
                <w:szCs w:val="22"/>
              </w:rPr>
              <w:t>Strategijos tikslas (-ai) / uždaviniai</w:t>
            </w:r>
          </w:p>
        </w:tc>
        <w:tc>
          <w:tcPr>
            <w:tcW w:w="2101" w:type="dxa"/>
            <w:shd w:val="pct5" w:color="auto" w:fill="auto"/>
          </w:tcPr>
          <w:p w:rsidR="00D634E8" w:rsidRPr="00382CFC" w:rsidRDefault="00F37FDA" w:rsidP="00CC7E61">
            <w:pPr>
              <w:jc w:val="center"/>
              <w:rPr>
                <w:b/>
                <w:sz w:val="22"/>
                <w:szCs w:val="22"/>
              </w:rPr>
            </w:pPr>
            <w:r w:rsidRPr="00382CFC">
              <w:rPr>
                <w:b/>
                <w:sz w:val="22"/>
                <w:szCs w:val="22"/>
              </w:rPr>
              <w:t>Rodikliai, matavimo vienetai</w:t>
            </w:r>
          </w:p>
        </w:tc>
        <w:tc>
          <w:tcPr>
            <w:tcW w:w="1686" w:type="dxa"/>
            <w:shd w:val="pct5" w:color="auto" w:fill="auto"/>
          </w:tcPr>
          <w:p w:rsidR="00D634E8" w:rsidRPr="00382CFC" w:rsidRDefault="00F37FDA" w:rsidP="00CC7E61">
            <w:pPr>
              <w:jc w:val="center"/>
              <w:rPr>
                <w:b/>
                <w:sz w:val="22"/>
                <w:szCs w:val="22"/>
              </w:rPr>
            </w:pPr>
            <w:r w:rsidRPr="00382CFC">
              <w:rPr>
                <w:b/>
                <w:sz w:val="22"/>
                <w:szCs w:val="22"/>
              </w:rPr>
              <w:t>Pagal Strategiją pradinė rodiklio reikšmė ir metai</w:t>
            </w:r>
          </w:p>
        </w:tc>
        <w:tc>
          <w:tcPr>
            <w:tcW w:w="1570" w:type="dxa"/>
            <w:shd w:val="pct5" w:color="auto" w:fill="auto"/>
          </w:tcPr>
          <w:p w:rsidR="00D634E8" w:rsidRPr="00382CFC" w:rsidRDefault="00F37FDA" w:rsidP="00CC7E61">
            <w:pPr>
              <w:jc w:val="center"/>
              <w:rPr>
                <w:b/>
                <w:sz w:val="22"/>
                <w:szCs w:val="22"/>
              </w:rPr>
            </w:pPr>
            <w:r w:rsidRPr="00382CFC">
              <w:rPr>
                <w:b/>
                <w:sz w:val="22"/>
                <w:szCs w:val="22"/>
              </w:rPr>
              <w:t>Pagal Strategiją siektina rodiklio reikšmė ir metai</w:t>
            </w:r>
          </w:p>
        </w:tc>
        <w:tc>
          <w:tcPr>
            <w:tcW w:w="1290" w:type="dxa"/>
            <w:shd w:val="pct5" w:color="auto" w:fill="auto"/>
          </w:tcPr>
          <w:p w:rsidR="00D634E8" w:rsidRPr="00382CFC" w:rsidRDefault="00F37FDA" w:rsidP="00CC7E61">
            <w:pPr>
              <w:jc w:val="center"/>
              <w:rPr>
                <w:b/>
                <w:sz w:val="22"/>
                <w:szCs w:val="22"/>
              </w:rPr>
            </w:pPr>
            <w:r w:rsidRPr="00382CFC">
              <w:rPr>
                <w:b/>
                <w:sz w:val="22"/>
                <w:szCs w:val="22"/>
              </w:rPr>
              <w:t xml:space="preserve">Pasiekta rodiklio reikšmė </w:t>
            </w:r>
          </w:p>
        </w:tc>
        <w:tc>
          <w:tcPr>
            <w:tcW w:w="2434" w:type="dxa"/>
            <w:shd w:val="pct5" w:color="auto" w:fill="auto"/>
          </w:tcPr>
          <w:p w:rsidR="00D634E8" w:rsidRPr="00382CFC" w:rsidRDefault="00F37FDA" w:rsidP="00CC7E61">
            <w:pPr>
              <w:jc w:val="center"/>
              <w:rPr>
                <w:b/>
                <w:sz w:val="22"/>
                <w:szCs w:val="22"/>
              </w:rPr>
            </w:pPr>
            <w:r w:rsidRPr="00382CFC">
              <w:rPr>
                <w:b/>
                <w:sz w:val="22"/>
                <w:szCs w:val="22"/>
              </w:rPr>
              <w:t>Informacijos šaltiniai</w:t>
            </w:r>
          </w:p>
        </w:tc>
        <w:tc>
          <w:tcPr>
            <w:tcW w:w="2552" w:type="dxa"/>
            <w:shd w:val="pct5" w:color="auto" w:fill="auto"/>
          </w:tcPr>
          <w:p w:rsidR="00D634E8" w:rsidRPr="00382CFC" w:rsidRDefault="00F37FDA" w:rsidP="00CC7E61">
            <w:pPr>
              <w:jc w:val="center"/>
              <w:rPr>
                <w:b/>
                <w:sz w:val="22"/>
                <w:szCs w:val="22"/>
              </w:rPr>
            </w:pPr>
            <w:r w:rsidRPr="00382CFC">
              <w:rPr>
                <w:b/>
                <w:sz w:val="22"/>
                <w:szCs w:val="22"/>
              </w:rPr>
              <w:t>Komentarai</w:t>
            </w:r>
          </w:p>
        </w:tc>
      </w:tr>
      <w:tr w:rsidR="00B30349" w:rsidRPr="00FC3DF0" w:rsidTr="009539BA">
        <w:tc>
          <w:tcPr>
            <w:tcW w:w="1829" w:type="dxa"/>
            <w:shd w:val="pct5" w:color="auto" w:fill="auto"/>
          </w:tcPr>
          <w:p w:rsidR="00D634E8" w:rsidRPr="00382CFC" w:rsidRDefault="00F37FDA" w:rsidP="00CC7E61">
            <w:pPr>
              <w:jc w:val="center"/>
              <w:rPr>
                <w:b/>
                <w:sz w:val="22"/>
                <w:szCs w:val="22"/>
              </w:rPr>
            </w:pPr>
            <w:r w:rsidRPr="00382CFC">
              <w:rPr>
                <w:b/>
                <w:sz w:val="22"/>
                <w:szCs w:val="22"/>
              </w:rPr>
              <w:t>1</w:t>
            </w:r>
          </w:p>
        </w:tc>
        <w:tc>
          <w:tcPr>
            <w:tcW w:w="2101" w:type="dxa"/>
            <w:shd w:val="pct5" w:color="auto" w:fill="auto"/>
          </w:tcPr>
          <w:p w:rsidR="00D634E8" w:rsidRPr="00382CFC" w:rsidRDefault="00F37FDA" w:rsidP="00CC7E61">
            <w:pPr>
              <w:jc w:val="center"/>
              <w:rPr>
                <w:b/>
                <w:sz w:val="22"/>
                <w:szCs w:val="22"/>
              </w:rPr>
            </w:pPr>
            <w:r w:rsidRPr="00382CFC">
              <w:rPr>
                <w:b/>
                <w:sz w:val="22"/>
                <w:szCs w:val="22"/>
              </w:rPr>
              <w:t>2</w:t>
            </w:r>
          </w:p>
        </w:tc>
        <w:tc>
          <w:tcPr>
            <w:tcW w:w="1686" w:type="dxa"/>
            <w:shd w:val="pct5" w:color="auto" w:fill="auto"/>
          </w:tcPr>
          <w:p w:rsidR="00D634E8" w:rsidRPr="00382CFC" w:rsidRDefault="00F37FDA" w:rsidP="00CC7E61">
            <w:pPr>
              <w:jc w:val="center"/>
              <w:rPr>
                <w:b/>
                <w:sz w:val="22"/>
                <w:szCs w:val="22"/>
              </w:rPr>
            </w:pPr>
            <w:r w:rsidRPr="00382CFC">
              <w:rPr>
                <w:b/>
                <w:sz w:val="22"/>
                <w:szCs w:val="22"/>
              </w:rPr>
              <w:t>3</w:t>
            </w:r>
          </w:p>
        </w:tc>
        <w:tc>
          <w:tcPr>
            <w:tcW w:w="1570" w:type="dxa"/>
            <w:shd w:val="pct5" w:color="auto" w:fill="auto"/>
          </w:tcPr>
          <w:p w:rsidR="00D634E8" w:rsidRPr="00382CFC" w:rsidRDefault="00F37FDA" w:rsidP="00CC7E61">
            <w:pPr>
              <w:jc w:val="center"/>
              <w:rPr>
                <w:b/>
                <w:sz w:val="22"/>
                <w:szCs w:val="22"/>
              </w:rPr>
            </w:pPr>
            <w:r w:rsidRPr="00382CFC">
              <w:rPr>
                <w:b/>
                <w:sz w:val="22"/>
                <w:szCs w:val="22"/>
              </w:rPr>
              <w:t>4</w:t>
            </w:r>
          </w:p>
        </w:tc>
        <w:tc>
          <w:tcPr>
            <w:tcW w:w="1290" w:type="dxa"/>
            <w:shd w:val="pct5" w:color="auto" w:fill="auto"/>
          </w:tcPr>
          <w:p w:rsidR="00D634E8" w:rsidRPr="00382CFC" w:rsidRDefault="00F37FDA" w:rsidP="00CC7E61">
            <w:pPr>
              <w:jc w:val="center"/>
              <w:rPr>
                <w:b/>
                <w:sz w:val="22"/>
                <w:szCs w:val="22"/>
              </w:rPr>
            </w:pPr>
            <w:r w:rsidRPr="00382CFC">
              <w:rPr>
                <w:b/>
                <w:sz w:val="22"/>
                <w:szCs w:val="22"/>
              </w:rPr>
              <w:t>5</w:t>
            </w:r>
          </w:p>
        </w:tc>
        <w:tc>
          <w:tcPr>
            <w:tcW w:w="2434" w:type="dxa"/>
            <w:shd w:val="pct5" w:color="auto" w:fill="auto"/>
          </w:tcPr>
          <w:p w:rsidR="00D634E8" w:rsidRPr="00382CFC" w:rsidRDefault="00F37FDA" w:rsidP="00CC7E61">
            <w:pPr>
              <w:jc w:val="center"/>
              <w:rPr>
                <w:b/>
                <w:sz w:val="22"/>
                <w:szCs w:val="22"/>
              </w:rPr>
            </w:pPr>
            <w:r w:rsidRPr="00382CFC">
              <w:rPr>
                <w:b/>
                <w:sz w:val="22"/>
                <w:szCs w:val="22"/>
              </w:rPr>
              <w:t>6</w:t>
            </w:r>
          </w:p>
        </w:tc>
        <w:tc>
          <w:tcPr>
            <w:tcW w:w="2552" w:type="dxa"/>
            <w:shd w:val="pct5" w:color="auto" w:fill="auto"/>
          </w:tcPr>
          <w:p w:rsidR="00D634E8" w:rsidRPr="00382CFC" w:rsidRDefault="00F37FDA" w:rsidP="00CC7E61">
            <w:pPr>
              <w:jc w:val="center"/>
              <w:rPr>
                <w:b/>
                <w:sz w:val="22"/>
                <w:szCs w:val="22"/>
              </w:rPr>
            </w:pPr>
            <w:r w:rsidRPr="00382CFC">
              <w:rPr>
                <w:b/>
                <w:sz w:val="22"/>
                <w:szCs w:val="22"/>
              </w:rPr>
              <w:t>7</w:t>
            </w:r>
          </w:p>
        </w:tc>
      </w:tr>
      <w:tr w:rsidR="00145863" w:rsidRPr="00FC3DF0" w:rsidTr="00F45A42">
        <w:trPr>
          <w:trHeight w:val="2176"/>
        </w:trPr>
        <w:tc>
          <w:tcPr>
            <w:tcW w:w="1829" w:type="dxa"/>
            <w:vMerge w:val="restart"/>
          </w:tcPr>
          <w:p w:rsidR="009B2794" w:rsidRPr="0087662C" w:rsidRDefault="00491CD4" w:rsidP="00491CD4">
            <w:pPr>
              <w:jc w:val="both"/>
              <w:rPr>
                <w:i/>
                <w:color w:val="808080"/>
                <w:sz w:val="22"/>
                <w:szCs w:val="22"/>
              </w:rPr>
            </w:pPr>
            <w:r w:rsidRPr="0087662C">
              <w:rPr>
                <w:iCs/>
                <w:sz w:val="22"/>
                <w:szCs w:val="22"/>
              </w:rPr>
              <w:t>1. </w:t>
            </w:r>
            <w:r w:rsidR="009B2794" w:rsidRPr="0087662C">
              <w:rPr>
                <w:iCs/>
                <w:sz w:val="22"/>
                <w:szCs w:val="22"/>
              </w:rPr>
              <w:t>Mažinti ekonominius netolygumus</w:t>
            </w:r>
          </w:p>
        </w:tc>
        <w:tc>
          <w:tcPr>
            <w:tcW w:w="2101" w:type="dxa"/>
          </w:tcPr>
          <w:p w:rsidR="009B2794" w:rsidRPr="0087662C" w:rsidRDefault="009B2794" w:rsidP="005E2029">
            <w:pPr>
              <w:rPr>
                <w:color w:val="808080"/>
                <w:sz w:val="22"/>
                <w:szCs w:val="22"/>
              </w:rPr>
            </w:pPr>
            <w:r w:rsidRPr="0087662C">
              <w:rPr>
                <w:rFonts w:eastAsia="Calibri"/>
                <w:iCs/>
                <w:sz w:val="22"/>
                <w:szCs w:val="22"/>
              </w:rPr>
              <w:t>Gyventojų užimtumo lygis (15–64 metų) | vidutiniai skirtumai tarp regiono savivaldybių (standartinis nuokrypis)</w:t>
            </w:r>
          </w:p>
        </w:tc>
        <w:tc>
          <w:tcPr>
            <w:tcW w:w="1686" w:type="dxa"/>
            <w:vAlign w:val="center"/>
          </w:tcPr>
          <w:p w:rsidR="00E26868" w:rsidRPr="0087662C" w:rsidRDefault="009B2794" w:rsidP="00C4385D">
            <w:pPr>
              <w:jc w:val="center"/>
              <w:rPr>
                <w:sz w:val="22"/>
                <w:szCs w:val="22"/>
              </w:rPr>
            </w:pPr>
            <w:r w:rsidRPr="0087662C">
              <w:rPr>
                <w:sz w:val="22"/>
                <w:szCs w:val="22"/>
              </w:rPr>
              <w:t>10,5</w:t>
            </w:r>
          </w:p>
          <w:p w:rsidR="009B2794" w:rsidRPr="0087662C" w:rsidRDefault="009B2794" w:rsidP="00C4385D">
            <w:pPr>
              <w:jc w:val="center"/>
              <w:rPr>
                <w:color w:val="808080"/>
                <w:sz w:val="22"/>
                <w:szCs w:val="22"/>
              </w:rPr>
            </w:pPr>
            <w:r w:rsidRPr="0087662C">
              <w:rPr>
                <w:sz w:val="22"/>
                <w:szCs w:val="22"/>
              </w:rPr>
              <w:t>(2020)</w:t>
            </w:r>
          </w:p>
        </w:tc>
        <w:tc>
          <w:tcPr>
            <w:tcW w:w="1570" w:type="dxa"/>
            <w:vAlign w:val="center"/>
          </w:tcPr>
          <w:p w:rsidR="00E26868" w:rsidRPr="0087662C" w:rsidRDefault="009B2794" w:rsidP="00C4385D">
            <w:pPr>
              <w:jc w:val="center"/>
              <w:rPr>
                <w:sz w:val="22"/>
                <w:szCs w:val="22"/>
              </w:rPr>
            </w:pPr>
            <w:r w:rsidRPr="0087662C">
              <w:rPr>
                <w:sz w:val="22"/>
                <w:szCs w:val="22"/>
              </w:rPr>
              <w:t>7</w:t>
            </w:r>
          </w:p>
          <w:p w:rsidR="009B2794" w:rsidRPr="0087662C" w:rsidRDefault="009B2794" w:rsidP="00C4385D">
            <w:pPr>
              <w:jc w:val="center"/>
              <w:rPr>
                <w:color w:val="808080"/>
                <w:sz w:val="22"/>
                <w:szCs w:val="22"/>
              </w:rPr>
            </w:pPr>
            <w:r w:rsidRPr="0087662C">
              <w:rPr>
                <w:sz w:val="22"/>
                <w:szCs w:val="22"/>
              </w:rPr>
              <w:t>(2030)</w:t>
            </w:r>
          </w:p>
        </w:tc>
        <w:tc>
          <w:tcPr>
            <w:tcW w:w="1290" w:type="dxa"/>
            <w:vAlign w:val="center"/>
          </w:tcPr>
          <w:p w:rsidR="00E26868" w:rsidRPr="0087662C" w:rsidRDefault="009B2794" w:rsidP="00C4385D">
            <w:pPr>
              <w:jc w:val="center"/>
              <w:rPr>
                <w:sz w:val="22"/>
                <w:szCs w:val="22"/>
              </w:rPr>
            </w:pPr>
            <w:r w:rsidRPr="0087662C">
              <w:rPr>
                <w:sz w:val="22"/>
                <w:szCs w:val="22"/>
              </w:rPr>
              <w:t>6,60</w:t>
            </w:r>
          </w:p>
          <w:p w:rsidR="009B2794" w:rsidRPr="0087662C" w:rsidRDefault="009B2794" w:rsidP="00C4385D">
            <w:pPr>
              <w:jc w:val="center"/>
              <w:rPr>
                <w:color w:val="808080"/>
                <w:sz w:val="22"/>
                <w:szCs w:val="22"/>
              </w:rPr>
            </w:pPr>
            <w:r w:rsidRPr="0087662C">
              <w:rPr>
                <w:sz w:val="22"/>
                <w:szCs w:val="22"/>
              </w:rPr>
              <w:t>(2023)</w:t>
            </w:r>
          </w:p>
        </w:tc>
        <w:tc>
          <w:tcPr>
            <w:tcW w:w="2434" w:type="dxa"/>
            <w:shd w:val="clear" w:color="auto" w:fill="FFFFFF" w:themeFill="background1"/>
          </w:tcPr>
          <w:p w:rsidR="00766E00" w:rsidRPr="00F45A42" w:rsidRDefault="007F0118" w:rsidP="00416A87">
            <w:pPr>
              <w:rPr>
                <w:rFonts w:eastAsia="Calibri"/>
                <w:iCs/>
                <w:sz w:val="22"/>
                <w:szCs w:val="22"/>
              </w:rPr>
            </w:pPr>
            <w:r w:rsidRPr="00F45A42">
              <w:rPr>
                <w:rFonts w:eastAsia="Calibri"/>
                <w:sz w:val="22"/>
                <w:szCs w:val="22"/>
              </w:rPr>
              <w:t xml:space="preserve">Duomenis dėl poveikio rodiklių pasiekimo pateikė  Lietuvos Respublikos </w:t>
            </w:r>
            <w:r w:rsidR="00EF4863" w:rsidRPr="00F45A42">
              <w:rPr>
                <w:rFonts w:eastAsia="Calibri"/>
                <w:sz w:val="22"/>
                <w:szCs w:val="22"/>
              </w:rPr>
              <w:t>v</w:t>
            </w:r>
            <w:r w:rsidRPr="00F45A42">
              <w:rPr>
                <w:rFonts w:eastAsia="Calibri"/>
                <w:sz w:val="22"/>
                <w:szCs w:val="22"/>
              </w:rPr>
              <w:t>idaus</w:t>
            </w:r>
            <w:r w:rsidRPr="00F45A42">
              <w:rPr>
                <w:rFonts w:eastAsia="Calibri"/>
                <w:iCs/>
                <w:sz w:val="22"/>
                <w:szCs w:val="22"/>
              </w:rPr>
              <w:t xml:space="preserve"> reikalų ministerija</w:t>
            </w:r>
            <w:r w:rsidR="00115F92" w:rsidRPr="00F45A42">
              <w:rPr>
                <w:rStyle w:val="Puslapioinaosnuoroda"/>
                <w:rFonts w:eastAsia="Calibri"/>
                <w:iCs/>
                <w:sz w:val="22"/>
                <w:szCs w:val="22"/>
              </w:rPr>
              <w:footnoteReference w:id="1"/>
            </w:r>
          </w:p>
          <w:p w:rsidR="009B2794" w:rsidRPr="00F45A42" w:rsidRDefault="009B2794" w:rsidP="00416A87">
            <w:pPr>
              <w:rPr>
                <w:b/>
                <w:bCs/>
                <w:i/>
                <w:sz w:val="22"/>
                <w:szCs w:val="22"/>
              </w:rPr>
            </w:pPr>
          </w:p>
        </w:tc>
        <w:tc>
          <w:tcPr>
            <w:tcW w:w="2552" w:type="dxa"/>
            <w:vAlign w:val="center"/>
          </w:tcPr>
          <w:p w:rsidR="009B2794" w:rsidRPr="00B30A9E" w:rsidRDefault="009B2794" w:rsidP="00BD4C8D">
            <w:pPr>
              <w:pStyle w:val="Default"/>
              <w:jc w:val="center"/>
              <w:rPr>
                <w:bCs/>
                <w:color w:val="808080"/>
                <w:sz w:val="22"/>
                <w:szCs w:val="22"/>
              </w:rPr>
            </w:pPr>
          </w:p>
        </w:tc>
      </w:tr>
      <w:tr w:rsidR="00145863" w:rsidRPr="00FC3DF0" w:rsidTr="00F45A42">
        <w:tc>
          <w:tcPr>
            <w:tcW w:w="1829" w:type="dxa"/>
            <w:vMerge/>
          </w:tcPr>
          <w:p w:rsidR="009B2794" w:rsidRPr="00FC3DF0" w:rsidRDefault="009B2794" w:rsidP="00CC7E61">
            <w:pPr>
              <w:jc w:val="both"/>
              <w:rPr>
                <w:i/>
                <w:color w:val="808080"/>
                <w:sz w:val="22"/>
                <w:szCs w:val="22"/>
              </w:rPr>
            </w:pPr>
          </w:p>
        </w:tc>
        <w:tc>
          <w:tcPr>
            <w:tcW w:w="2101" w:type="dxa"/>
          </w:tcPr>
          <w:p w:rsidR="00062829" w:rsidRPr="0087662C" w:rsidRDefault="009B2794" w:rsidP="002062FC">
            <w:pPr>
              <w:widowControl w:val="0"/>
              <w:suppressAutoHyphens/>
              <w:rPr>
                <w:color w:val="808080"/>
                <w:sz w:val="22"/>
                <w:szCs w:val="22"/>
              </w:rPr>
            </w:pPr>
            <w:r w:rsidRPr="0087662C">
              <w:rPr>
                <w:rFonts w:eastAsia="Calibri"/>
                <w:sz w:val="22"/>
                <w:szCs w:val="22"/>
              </w:rPr>
              <w:t>Paruoštų pakartotinai naudoti ir perdirbtų komunalinių atliekų dalis (proc.)</w:t>
            </w:r>
          </w:p>
        </w:tc>
        <w:tc>
          <w:tcPr>
            <w:tcW w:w="1686" w:type="dxa"/>
            <w:vAlign w:val="center"/>
          </w:tcPr>
          <w:p w:rsidR="003C016F" w:rsidRPr="0087662C" w:rsidRDefault="0012003C" w:rsidP="00C4385D">
            <w:pPr>
              <w:jc w:val="center"/>
              <w:rPr>
                <w:sz w:val="22"/>
                <w:szCs w:val="22"/>
              </w:rPr>
            </w:pPr>
            <w:r w:rsidRPr="0087662C">
              <w:rPr>
                <w:sz w:val="22"/>
                <w:szCs w:val="22"/>
              </w:rPr>
              <w:t>28</w:t>
            </w:r>
          </w:p>
          <w:p w:rsidR="009B2794" w:rsidRPr="0087662C" w:rsidRDefault="009B2794" w:rsidP="00C4385D">
            <w:pPr>
              <w:jc w:val="center"/>
              <w:rPr>
                <w:color w:val="808080"/>
                <w:sz w:val="22"/>
                <w:szCs w:val="22"/>
              </w:rPr>
            </w:pPr>
            <w:r w:rsidRPr="0087662C">
              <w:rPr>
                <w:sz w:val="22"/>
                <w:szCs w:val="22"/>
              </w:rPr>
              <w:t>(20</w:t>
            </w:r>
            <w:r w:rsidR="0012003C" w:rsidRPr="0087662C">
              <w:rPr>
                <w:sz w:val="22"/>
                <w:szCs w:val="22"/>
              </w:rPr>
              <w:t>20</w:t>
            </w:r>
            <w:r w:rsidRPr="0087662C">
              <w:rPr>
                <w:sz w:val="22"/>
                <w:szCs w:val="22"/>
              </w:rPr>
              <w:t>)</w:t>
            </w:r>
          </w:p>
        </w:tc>
        <w:tc>
          <w:tcPr>
            <w:tcW w:w="1570" w:type="dxa"/>
            <w:vAlign w:val="center"/>
          </w:tcPr>
          <w:p w:rsidR="003C016F" w:rsidRPr="0087662C" w:rsidRDefault="003730D0" w:rsidP="00C4385D">
            <w:pPr>
              <w:jc w:val="center"/>
              <w:rPr>
                <w:sz w:val="22"/>
                <w:szCs w:val="22"/>
              </w:rPr>
            </w:pPr>
            <w:r w:rsidRPr="0087662C">
              <w:rPr>
                <w:sz w:val="22"/>
                <w:szCs w:val="22"/>
              </w:rPr>
              <w:t>60</w:t>
            </w:r>
          </w:p>
          <w:p w:rsidR="009B2794" w:rsidRPr="0087662C" w:rsidRDefault="009B2794" w:rsidP="00C4385D">
            <w:pPr>
              <w:jc w:val="center"/>
              <w:rPr>
                <w:color w:val="808080"/>
                <w:sz w:val="22"/>
                <w:szCs w:val="22"/>
              </w:rPr>
            </w:pPr>
            <w:r w:rsidRPr="0087662C">
              <w:rPr>
                <w:sz w:val="22"/>
                <w:szCs w:val="22"/>
              </w:rPr>
              <w:t>(2030)</w:t>
            </w:r>
          </w:p>
        </w:tc>
        <w:tc>
          <w:tcPr>
            <w:tcW w:w="1290" w:type="dxa"/>
            <w:vAlign w:val="center"/>
          </w:tcPr>
          <w:p w:rsidR="003C016F" w:rsidRPr="0087662C" w:rsidRDefault="003730D0" w:rsidP="00C4385D">
            <w:pPr>
              <w:jc w:val="center"/>
              <w:rPr>
                <w:sz w:val="22"/>
                <w:szCs w:val="22"/>
              </w:rPr>
            </w:pPr>
            <w:r w:rsidRPr="0087662C">
              <w:rPr>
                <w:sz w:val="22"/>
                <w:szCs w:val="22"/>
              </w:rPr>
              <w:t>44</w:t>
            </w:r>
          </w:p>
          <w:p w:rsidR="009B2794" w:rsidRPr="0087662C" w:rsidRDefault="009B2794" w:rsidP="00C4385D">
            <w:pPr>
              <w:jc w:val="center"/>
              <w:rPr>
                <w:color w:val="808080"/>
                <w:sz w:val="22"/>
                <w:szCs w:val="22"/>
              </w:rPr>
            </w:pPr>
            <w:r w:rsidRPr="0087662C">
              <w:rPr>
                <w:sz w:val="22"/>
                <w:szCs w:val="22"/>
              </w:rPr>
              <w:t>(2023)</w:t>
            </w:r>
          </w:p>
        </w:tc>
        <w:tc>
          <w:tcPr>
            <w:tcW w:w="2434" w:type="dxa"/>
            <w:shd w:val="clear" w:color="auto" w:fill="FFFFFF" w:themeFill="background1"/>
            <w:vAlign w:val="center"/>
          </w:tcPr>
          <w:p w:rsidR="00645400" w:rsidRPr="00F45A42" w:rsidRDefault="00645400" w:rsidP="00645400">
            <w:pPr>
              <w:rPr>
                <w:rFonts w:eastAsia="Calibri"/>
                <w:iCs/>
                <w:sz w:val="22"/>
                <w:szCs w:val="22"/>
              </w:rPr>
            </w:pPr>
            <w:r w:rsidRPr="00F45A42">
              <w:rPr>
                <w:rFonts w:eastAsia="Calibri"/>
                <w:sz w:val="22"/>
                <w:szCs w:val="22"/>
              </w:rPr>
              <w:t xml:space="preserve">Duomenis dėl poveikio rodiklių pasiekimo pateikė  Lietuvos Respublikos </w:t>
            </w:r>
            <w:r w:rsidR="00EF4863" w:rsidRPr="00F45A42">
              <w:rPr>
                <w:rFonts w:eastAsia="Calibri"/>
                <w:sz w:val="22"/>
                <w:szCs w:val="22"/>
              </w:rPr>
              <w:t>v</w:t>
            </w:r>
            <w:r w:rsidRPr="00F45A42">
              <w:rPr>
                <w:rFonts w:eastAsia="Calibri"/>
                <w:sz w:val="22"/>
                <w:szCs w:val="22"/>
              </w:rPr>
              <w:t>idaus</w:t>
            </w:r>
            <w:r w:rsidRPr="00F45A42">
              <w:rPr>
                <w:rFonts w:eastAsia="Calibri"/>
                <w:iCs/>
                <w:sz w:val="22"/>
                <w:szCs w:val="22"/>
              </w:rPr>
              <w:t xml:space="preserve"> reikalų ministerija</w:t>
            </w:r>
            <w:r w:rsidRPr="00F45A42">
              <w:rPr>
                <w:rStyle w:val="Puslapioinaosnuoroda"/>
              </w:rPr>
              <w:footnoteRef/>
            </w:r>
            <w:r w:rsidRPr="00F45A42">
              <w:rPr>
                <w:rFonts w:eastAsia="Calibri"/>
                <w:iCs/>
                <w:sz w:val="22"/>
                <w:szCs w:val="22"/>
              </w:rPr>
              <w:t xml:space="preserve"> </w:t>
            </w:r>
          </w:p>
          <w:p w:rsidR="009B2794" w:rsidRPr="00F45A42" w:rsidRDefault="009B2794" w:rsidP="00BF5D0A">
            <w:pPr>
              <w:rPr>
                <w:i/>
                <w:sz w:val="22"/>
                <w:szCs w:val="22"/>
              </w:rPr>
            </w:pPr>
          </w:p>
        </w:tc>
        <w:tc>
          <w:tcPr>
            <w:tcW w:w="2552" w:type="dxa"/>
            <w:vAlign w:val="center"/>
          </w:tcPr>
          <w:p w:rsidR="009B2794" w:rsidRPr="007F1F84" w:rsidRDefault="009B2794" w:rsidP="00BD4C8D">
            <w:pPr>
              <w:jc w:val="center"/>
              <w:rPr>
                <w:iCs/>
                <w:color w:val="808080"/>
                <w:sz w:val="22"/>
                <w:szCs w:val="22"/>
              </w:rPr>
            </w:pPr>
          </w:p>
        </w:tc>
      </w:tr>
      <w:tr w:rsidR="00145863" w:rsidRPr="00FC3DF0" w:rsidTr="009539BA">
        <w:trPr>
          <w:trHeight w:val="2638"/>
        </w:trPr>
        <w:tc>
          <w:tcPr>
            <w:tcW w:w="1829" w:type="dxa"/>
            <w:vMerge w:val="restart"/>
            <w:vAlign w:val="center"/>
          </w:tcPr>
          <w:p w:rsidR="00BF6550" w:rsidRPr="00FC3DF0" w:rsidRDefault="00BF6550" w:rsidP="00A0514D">
            <w:pPr>
              <w:rPr>
                <w:i/>
                <w:color w:val="808080"/>
                <w:sz w:val="22"/>
                <w:szCs w:val="22"/>
                <w:lang w:val="en-US"/>
              </w:rPr>
            </w:pPr>
            <w:r w:rsidRPr="00FC3DF0">
              <w:rPr>
                <w:iCs/>
                <w:sz w:val="22"/>
                <w:szCs w:val="22"/>
              </w:rPr>
              <w:t>1.1</w:t>
            </w:r>
            <w:r w:rsidRPr="00FC3DF0">
              <w:rPr>
                <w:i/>
                <w:color w:val="808080"/>
                <w:sz w:val="22"/>
                <w:szCs w:val="22"/>
              </w:rPr>
              <w:t>. </w:t>
            </w:r>
            <w:r w:rsidR="00B00B5D" w:rsidRPr="00FC3DF0">
              <w:rPr>
                <w:rFonts w:eastAsia="Calibri"/>
                <w:iCs/>
                <w:sz w:val="22"/>
                <w:szCs w:val="22"/>
              </w:rPr>
              <w:t xml:space="preserve"> Paskatinti turizmo plėtrą</w:t>
            </w:r>
          </w:p>
        </w:tc>
        <w:tc>
          <w:tcPr>
            <w:tcW w:w="2101" w:type="dxa"/>
            <w:vAlign w:val="center"/>
          </w:tcPr>
          <w:p w:rsidR="00BF6550" w:rsidRPr="00FC3DF0" w:rsidRDefault="00BF6550" w:rsidP="00A0514D">
            <w:pPr>
              <w:rPr>
                <w:i/>
                <w:color w:val="808080"/>
                <w:sz w:val="22"/>
                <w:szCs w:val="22"/>
              </w:rPr>
            </w:pPr>
            <w:r w:rsidRPr="00FC3DF0">
              <w:rPr>
                <w:sz w:val="22"/>
                <w:szCs w:val="22"/>
                <w:lang w:eastAsia="lt-LT"/>
              </w:rPr>
              <w:t>R.S.2.3040 Sukurtos arba atkurtos teritorijos, naudojamos ekonominei, rekreacinei ar turizmo paskirčiai | ha (5.2)</w:t>
            </w:r>
          </w:p>
        </w:tc>
        <w:tc>
          <w:tcPr>
            <w:tcW w:w="1686" w:type="dxa"/>
            <w:vAlign w:val="center"/>
          </w:tcPr>
          <w:p w:rsidR="00BF6550" w:rsidRPr="00FC3DF0" w:rsidRDefault="00BF6550" w:rsidP="005E2029">
            <w:pPr>
              <w:jc w:val="center"/>
              <w:rPr>
                <w:b/>
                <w:color w:val="808080"/>
                <w:sz w:val="22"/>
                <w:szCs w:val="22"/>
              </w:rPr>
            </w:pPr>
          </w:p>
        </w:tc>
        <w:tc>
          <w:tcPr>
            <w:tcW w:w="1570" w:type="dxa"/>
            <w:vAlign w:val="center"/>
          </w:tcPr>
          <w:p w:rsidR="00145863" w:rsidRDefault="00BF6550" w:rsidP="0094300F">
            <w:pPr>
              <w:jc w:val="center"/>
              <w:rPr>
                <w:sz w:val="22"/>
                <w:szCs w:val="22"/>
                <w:lang w:eastAsia="lt-LT"/>
              </w:rPr>
            </w:pPr>
            <w:r w:rsidRPr="00FC3DF0">
              <w:rPr>
                <w:sz w:val="22"/>
                <w:szCs w:val="22"/>
                <w:lang w:eastAsia="lt-LT"/>
              </w:rPr>
              <w:t>246,0515</w:t>
            </w:r>
          </w:p>
          <w:p w:rsidR="00BF6550" w:rsidRPr="00FC3DF0" w:rsidRDefault="00BF6550" w:rsidP="0094300F">
            <w:pPr>
              <w:jc w:val="center"/>
              <w:rPr>
                <w:b/>
                <w:color w:val="808080"/>
                <w:sz w:val="22"/>
                <w:szCs w:val="22"/>
              </w:rPr>
            </w:pPr>
            <w:r w:rsidRPr="00FC3DF0">
              <w:rPr>
                <w:sz w:val="22"/>
                <w:szCs w:val="22"/>
                <w:lang w:eastAsia="lt-LT"/>
              </w:rPr>
              <w:t>(2029)</w:t>
            </w:r>
          </w:p>
        </w:tc>
        <w:tc>
          <w:tcPr>
            <w:tcW w:w="1290" w:type="dxa"/>
            <w:vAlign w:val="center"/>
          </w:tcPr>
          <w:p w:rsidR="00145863" w:rsidRDefault="00BF6550" w:rsidP="0094300F">
            <w:pPr>
              <w:jc w:val="center"/>
              <w:rPr>
                <w:sz w:val="22"/>
                <w:szCs w:val="22"/>
                <w:lang w:eastAsia="lt-LT"/>
              </w:rPr>
            </w:pPr>
            <w:r w:rsidRPr="00FC3DF0">
              <w:rPr>
                <w:sz w:val="22"/>
                <w:szCs w:val="22"/>
                <w:lang w:eastAsia="lt-LT"/>
              </w:rPr>
              <w:t>0</w:t>
            </w:r>
          </w:p>
          <w:p w:rsidR="00BF6550" w:rsidRPr="00FC3DF0" w:rsidRDefault="00BF6550" w:rsidP="0094300F">
            <w:pPr>
              <w:jc w:val="center"/>
              <w:rPr>
                <w:b/>
                <w:color w:val="808080"/>
                <w:sz w:val="22"/>
                <w:szCs w:val="22"/>
              </w:rPr>
            </w:pPr>
            <w:r w:rsidRPr="00FC3DF0">
              <w:rPr>
                <w:sz w:val="22"/>
                <w:szCs w:val="22"/>
                <w:lang w:eastAsia="lt-LT"/>
              </w:rPr>
              <w:t>(2024)</w:t>
            </w:r>
          </w:p>
        </w:tc>
        <w:tc>
          <w:tcPr>
            <w:tcW w:w="2434" w:type="dxa"/>
            <w:vAlign w:val="center"/>
          </w:tcPr>
          <w:p w:rsidR="00BF6550" w:rsidRPr="00FC3DF0" w:rsidRDefault="00BF6550" w:rsidP="00BF5D0A">
            <w:pPr>
              <w:rPr>
                <w:i/>
                <w:color w:val="808080"/>
                <w:sz w:val="22"/>
                <w:szCs w:val="22"/>
              </w:rPr>
            </w:pPr>
          </w:p>
        </w:tc>
        <w:tc>
          <w:tcPr>
            <w:tcW w:w="2552" w:type="dxa"/>
            <w:vAlign w:val="center"/>
          </w:tcPr>
          <w:p w:rsidR="00BF6550" w:rsidRPr="00A641D3" w:rsidRDefault="00A641D3" w:rsidP="00ED2F48">
            <w:pPr>
              <w:jc w:val="center"/>
              <w:rPr>
                <w:iCs/>
                <w:color w:val="808080"/>
                <w:sz w:val="22"/>
                <w:szCs w:val="22"/>
              </w:rPr>
            </w:pPr>
            <w:r w:rsidRPr="00A641D3">
              <w:rPr>
                <w:iCs/>
                <w:sz w:val="22"/>
                <w:szCs w:val="22"/>
              </w:rPr>
              <w:t>Rodiklio nepasiekimo rizikos nėra</w:t>
            </w:r>
          </w:p>
        </w:tc>
      </w:tr>
      <w:tr w:rsidR="00EA5DDC" w:rsidRPr="00FC3DF0" w:rsidTr="009539BA">
        <w:tc>
          <w:tcPr>
            <w:tcW w:w="1829" w:type="dxa"/>
            <w:vMerge/>
          </w:tcPr>
          <w:p w:rsidR="00EA5DDC" w:rsidRPr="00FC3DF0" w:rsidRDefault="00EA5DDC" w:rsidP="00EA5DDC">
            <w:pPr>
              <w:rPr>
                <w:i/>
                <w:color w:val="808080"/>
                <w:sz w:val="22"/>
                <w:szCs w:val="22"/>
              </w:rPr>
            </w:pPr>
          </w:p>
        </w:tc>
        <w:tc>
          <w:tcPr>
            <w:tcW w:w="2101" w:type="dxa"/>
          </w:tcPr>
          <w:p w:rsidR="00EA5DDC" w:rsidRDefault="00EA5DDC" w:rsidP="00EA5DDC">
            <w:pPr>
              <w:rPr>
                <w:sz w:val="22"/>
                <w:szCs w:val="22"/>
                <w:lang w:eastAsia="lt-LT"/>
              </w:rPr>
            </w:pPr>
            <w:r w:rsidRPr="00FC3DF0">
              <w:rPr>
                <w:sz w:val="22"/>
                <w:szCs w:val="22"/>
                <w:lang w:eastAsia="lt-LT"/>
              </w:rPr>
              <w:t>R.S.2.3025 Dviračiams skirtos infrastruktūros metinis naudotojų skaičius | naudotojai per metus (5.2)</w:t>
            </w:r>
          </w:p>
          <w:p w:rsidR="00EA5DDC" w:rsidRPr="00FC3DF0" w:rsidRDefault="00EA5DDC" w:rsidP="00EA5DDC">
            <w:pPr>
              <w:rPr>
                <w:i/>
                <w:color w:val="808080"/>
                <w:sz w:val="22"/>
                <w:szCs w:val="22"/>
              </w:rPr>
            </w:pPr>
          </w:p>
        </w:tc>
        <w:tc>
          <w:tcPr>
            <w:tcW w:w="1686" w:type="dxa"/>
            <w:vAlign w:val="center"/>
          </w:tcPr>
          <w:p w:rsidR="00EA5DDC" w:rsidRPr="00FC3DF0" w:rsidRDefault="00EA5DDC" w:rsidP="00EA5DDC">
            <w:pPr>
              <w:jc w:val="center"/>
              <w:rPr>
                <w:i/>
                <w:color w:val="808080"/>
                <w:sz w:val="22"/>
                <w:szCs w:val="22"/>
              </w:rPr>
            </w:pPr>
          </w:p>
        </w:tc>
        <w:tc>
          <w:tcPr>
            <w:tcW w:w="1570" w:type="dxa"/>
            <w:vAlign w:val="center"/>
          </w:tcPr>
          <w:p w:rsidR="00EA5DDC" w:rsidRDefault="00EA5DDC" w:rsidP="00EA5DDC">
            <w:pPr>
              <w:jc w:val="center"/>
              <w:rPr>
                <w:sz w:val="22"/>
                <w:szCs w:val="22"/>
                <w:lang w:eastAsia="lt-LT"/>
              </w:rPr>
            </w:pPr>
            <w:r w:rsidRPr="00FC3DF0">
              <w:rPr>
                <w:sz w:val="22"/>
                <w:szCs w:val="22"/>
                <w:lang w:eastAsia="lt-LT"/>
              </w:rPr>
              <w:t>2</w:t>
            </w:r>
            <w:r>
              <w:rPr>
                <w:sz w:val="22"/>
                <w:szCs w:val="22"/>
                <w:lang w:eastAsia="lt-LT"/>
              </w:rPr>
              <w:t> </w:t>
            </w:r>
            <w:r w:rsidRPr="00FC3DF0">
              <w:rPr>
                <w:sz w:val="22"/>
                <w:szCs w:val="22"/>
                <w:lang w:eastAsia="lt-LT"/>
              </w:rPr>
              <w:t>630</w:t>
            </w:r>
          </w:p>
          <w:p w:rsidR="00EA5DDC" w:rsidRPr="00FC3DF0" w:rsidRDefault="00EA5DDC" w:rsidP="00EA5DDC">
            <w:pPr>
              <w:jc w:val="center"/>
              <w:rPr>
                <w:b/>
                <w:color w:val="808080"/>
                <w:sz w:val="22"/>
                <w:szCs w:val="22"/>
              </w:rPr>
            </w:pPr>
            <w:r w:rsidRPr="00FC3DF0">
              <w:rPr>
                <w:sz w:val="22"/>
                <w:szCs w:val="22"/>
                <w:lang w:eastAsia="lt-LT"/>
              </w:rPr>
              <w:t>(2029)</w:t>
            </w:r>
          </w:p>
        </w:tc>
        <w:tc>
          <w:tcPr>
            <w:tcW w:w="1290" w:type="dxa"/>
            <w:vAlign w:val="center"/>
          </w:tcPr>
          <w:p w:rsidR="00EA5DDC" w:rsidRDefault="00EA5DDC" w:rsidP="00EA5DDC">
            <w:pPr>
              <w:jc w:val="center"/>
              <w:rPr>
                <w:sz w:val="22"/>
                <w:szCs w:val="22"/>
                <w:lang w:eastAsia="lt-LT"/>
              </w:rPr>
            </w:pPr>
            <w:r w:rsidRPr="00FC3DF0">
              <w:rPr>
                <w:sz w:val="22"/>
                <w:szCs w:val="22"/>
                <w:lang w:eastAsia="lt-LT"/>
              </w:rPr>
              <w:t>0</w:t>
            </w:r>
          </w:p>
          <w:p w:rsidR="00EA5DDC" w:rsidRPr="00FC3DF0" w:rsidRDefault="00EA5DDC" w:rsidP="00EA5DDC">
            <w:pPr>
              <w:jc w:val="center"/>
              <w:rPr>
                <w:b/>
                <w:color w:val="808080"/>
                <w:sz w:val="22"/>
                <w:szCs w:val="22"/>
              </w:rPr>
            </w:pPr>
            <w:r w:rsidRPr="00FC3DF0">
              <w:rPr>
                <w:sz w:val="22"/>
                <w:szCs w:val="22"/>
                <w:lang w:eastAsia="lt-LT"/>
              </w:rPr>
              <w:t>(2024)</w:t>
            </w:r>
          </w:p>
        </w:tc>
        <w:tc>
          <w:tcPr>
            <w:tcW w:w="2434" w:type="dxa"/>
            <w:vAlign w:val="center"/>
          </w:tcPr>
          <w:p w:rsidR="00EA5DDC" w:rsidRPr="00FC3DF0" w:rsidRDefault="00EA5DDC" w:rsidP="00EA5DDC">
            <w:pPr>
              <w:rPr>
                <w:i/>
                <w:color w:val="808080"/>
                <w:sz w:val="22"/>
                <w:szCs w:val="22"/>
              </w:rPr>
            </w:pPr>
          </w:p>
        </w:tc>
        <w:tc>
          <w:tcPr>
            <w:tcW w:w="2552" w:type="dxa"/>
            <w:vAlign w:val="center"/>
          </w:tcPr>
          <w:p w:rsidR="00EA5DDC" w:rsidRPr="00FC3DF0" w:rsidRDefault="00F45E75" w:rsidP="00ED2F48">
            <w:pPr>
              <w:jc w:val="center"/>
              <w:rPr>
                <w:i/>
                <w:color w:val="808080"/>
                <w:sz w:val="22"/>
                <w:szCs w:val="22"/>
              </w:rPr>
            </w:pPr>
            <w:r w:rsidRPr="00A641D3">
              <w:rPr>
                <w:iCs/>
                <w:sz w:val="22"/>
                <w:szCs w:val="22"/>
              </w:rPr>
              <w:t>Rodiklio nepasiekimo rizikos nėra</w:t>
            </w:r>
          </w:p>
        </w:tc>
      </w:tr>
      <w:tr w:rsidR="00F45E75" w:rsidRPr="00FC3DF0" w:rsidTr="007463D0">
        <w:tc>
          <w:tcPr>
            <w:tcW w:w="1829" w:type="dxa"/>
            <w:vMerge/>
          </w:tcPr>
          <w:p w:rsidR="00F45E75" w:rsidRPr="00FC3DF0" w:rsidRDefault="00F45E75" w:rsidP="00F45E75">
            <w:pPr>
              <w:rPr>
                <w:i/>
                <w:color w:val="808080"/>
                <w:sz w:val="22"/>
                <w:szCs w:val="22"/>
              </w:rPr>
            </w:pPr>
          </w:p>
        </w:tc>
        <w:tc>
          <w:tcPr>
            <w:tcW w:w="2101" w:type="dxa"/>
          </w:tcPr>
          <w:p w:rsidR="00F45E75" w:rsidRDefault="00F45E75" w:rsidP="00F45E75">
            <w:pPr>
              <w:rPr>
                <w:color w:val="000000"/>
                <w:sz w:val="22"/>
                <w:szCs w:val="22"/>
              </w:rPr>
            </w:pPr>
            <w:r w:rsidRPr="00FC3DF0">
              <w:rPr>
                <w:color w:val="000000"/>
                <w:sz w:val="22"/>
                <w:szCs w:val="22"/>
              </w:rPr>
              <w:t>Bendrai teikiamų viešųjų paslaugų skaičius, vnt.</w:t>
            </w:r>
          </w:p>
          <w:p w:rsidR="00F45E75" w:rsidRPr="00FC3DF0" w:rsidRDefault="00F45E75" w:rsidP="00F45E75">
            <w:pPr>
              <w:rPr>
                <w:i/>
                <w:color w:val="808080"/>
                <w:sz w:val="22"/>
                <w:szCs w:val="22"/>
              </w:rPr>
            </w:pPr>
          </w:p>
        </w:tc>
        <w:tc>
          <w:tcPr>
            <w:tcW w:w="1686" w:type="dxa"/>
            <w:vAlign w:val="center"/>
          </w:tcPr>
          <w:p w:rsidR="00F45E75" w:rsidRPr="002D077C" w:rsidRDefault="00F45E75" w:rsidP="00F45E75">
            <w:pPr>
              <w:jc w:val="center"/>
              <w:rPr>
                <w:sz w:val="22"/>
                <w:szCs w:val="22"/>
                <w:lang w:eastAsia="lt-LT"/>
              </w:rPr>
            </w:pPr>
          </w:p>
        </w:tc>
        <w:tc>
          <w:tcPr>
            <w:tcW w:w="1570" w:type="dxa"/>
            <w:vAlign w:val="center"/>
          </w:tcPr>
          <w:p w:rsidR="00F45E75" w:rsidRPr="00FC3DF0" w:rsidRDefault="00F45E75" w:rsidP="00F45E75">
            <w:pPr>
              <w:jc w:val="center"/>
              <w:rPr>
                <w:sz w:val="22"/>
                <w:szCs w:val="22"/>
              </w:rPr>
            </w:pPr>
            <w:r w:rsidRPr="00FC3DF0">
              <w:rPr>
                <w:sz w:val="22"/>
                <w:szCs w:val="22"/>
              </w:rPr>
              <w:t>1</w:t>
            </w:r>
          </w:p>
          <w:p w:rsidR="00F45E75" w:rsidRPr="00FC3DF0" w:rsidRDefault="00F45E75" w:rsidP="00F45E75">
            <w:pPr>
              <w:jc w:val="center"/>
              <w:rPr>
                <w:sz w:val="22"/>
                <w:szCs w:val="22"/>
              </w:rPr>
            </w:pPr>
            <w:r w:rsidRPr="00FC3DF0">
              <w:rPr>
                <w:sz w:val="22"/>
                <w:szCs w:val="22"/>
              </w:rPr>
              <w:t>(2029)</w:t>
            </w:r>
          </w:p>
          <w:p w:rsidR="00F45E75" w:rsidRPr="00FC3DF0" w:rsidRDefault="00F45E75" w:rsidP="00F45E75">
            <w:pPr>
              <w:jc w:val="center"/>
              <w:rPr>
                <w:b/>
                <w:color w:val="808080"/>
                <w:sz w:val="22"/>
                <w:szCs w:val="22"/>
              </w:rPr>
            </w:pPr>
          </w:p>
        </w:tc>
        <w:tc>
          <w:tcPr>
            <w:tcW w:w="1290" w:type="dxa"/>
            <w:vAlign w:val="center"/>
          </w:tcPr>
          <w:p w:rsidR="00F45E75" w:rsidRDefault="00F45E75" w:rsidP="00F45E75">
            <w:pPr>
              <w:jc w:val="center"/>
              <w:rPr>
                <w:sz w:val="22"/>
                <w:szCs w:val="22"/>
                <w:lang w:eastAsia="lt-LT"/>
              </w:rPr>
            </w:pPr>
            <w:r w:rsidRPr="00FC3DF0">
              <w:rPr>
                <w:sz w:val="22"/>
                <w:szCs w:val="22"/>
                <w:lang w:eastAsia="lt-LT"/>
              </w:rPr>
              <w:t>0</w:t>
            </w:r>
          </w:p>
          <w:p w:rsidR="00F45E75" w:rsidRDefault="00F45E75" w:rsidP="00F45E75">
            <w:pPr>
              <w:jc w:val="center"/>
              <w:rPr>
                <w:sz w:val="22"/>
                <w:szCs w:val="22"/>
                <w:lang w:eastAsia="lt-LT"/>
              </w:rPr>
            </w:pPr>
            <w:r w:rsidRPr="00FC3DF0">
              <w:rPr>
                <w:sz w:val="22"/>
                <w:szCs w:val="22"/>
                <w:lang w:eastAsia="lt-LT"/>
              </w:rPr>
              <w:t>(2024)</w:t>
            </w:r>
          </w:p>
          <w:p w:rsidR="00F45E75" w:rsidRPr="00FC3DF0" w:rsidRDefault="00F45E75" w:rsidP="00F45E75">
            <w:pPr>
              <w:jc w:val="center"/>
              <w:rPr>
                <w:b/>
                <w:color w:val="808080"/>
                <w:sz w:val="22"/>
                <w:szCs w:val="22"/>
              </w:rPr>
            </w:pPr>
          </w:p>
        </w:tc>
        <w:tc>
          <w:tcPr>
            <w:tcW w:w="2434" w:type="dxa"/>
          </w:tcPr>
          <w:p w:rsidR="00F45E75" w:rsidRPr="004E1F2E" w:rsidRDefault="00F45E75" w:rsidP="00F45E75">
            <w:pPr>
              <w:rPr>
                <w:b/>
                <w:bCs/>
                <w:color w:val="808080"/>
                <w:sz w:val="22"/>
                <w:szCs w:val="22"/>
              </w:rPr>
            </w:pPr>
          </w:p>
        </w:tc>
        <w:tc>
          <w:tcPr>
            <w:tcW w:w="2552" w:type="dxa"/>
          </w:tcPr>
          <w:p w:rsidR="00F45E75" w:rsidRPr="00FC3DF0" w:rsidRDefault="00F45E75" w:rsidP="00F45E75">
            <w:pPr>
              <w:spacing w:after="80"/>
              <w:jc w:val="center"/>
              <w:rPr>
                <w:b/>
                <w:color w:val="808080"/>
                <w:sz w:val="22"/>
                <w:szCs w:val="22"/>
              </w:rPr>
            </w:pPr>
            <w:r w:rsidRPr="00B60497">
              <w:rPr>
                <w:iCs/>
                <w:sz w:val="22"/>
                <w:szCs w:val="22"/>
              </w:rPr>
              <w:t>Rodiklio nepasiekimo rizikos nėra</w:t>
            </w:r>
          </w:p>
        </w:tc>
      </w:tr>
      <w:tr w:rsidR="00F45E75" w:rsidRPr="00FC3DF0" w:rsidTr="007463D0">
        <w:tc>
          <w:tcPr>
            <w:tcW w:w="1829" w:type="dxa"/>
            <w:vMerge w:val="restart"/>
          </w:tcPr>
          <w:p w:rsidR="00F45E75" w:rsidRPr="00FC3DF0" w:rsidRDefault="00F45E75" w:rsidP="00F45E75">
            <w:pPr>
              <w:ind w:left="360" w:hanging="360"/>
              <w:rPr>
                <w:i/>
                <w:color w:val="808080"/>
                <w:sz w:val="22"/>
                <w:szCs w:val="22"/>
              </w:rPr>
            </w:pPr>
            <w:r w:rsidRPr="00B30349">
              <w:rPr>
                <w:iCs/>
                <w:sz w:val="22"/>
                <w:szCs w:val="22"/>
              </w:rPr>
              <w:t>1.2. Užtikrinti kompetencijų, reikalingų ateities ekonomikai, ugdymą</w:t>
            </w:r>
          </w:p>
        </w:tc>
        <w:tc>
          <w:tcPr>
            <w:tcW w:w="2101" w:type="dxa"/>
            <w:vAlign w:val="center"/>
          </w:tcPr>
          <w:p w:rsidR="00F45E75" w:rsidRDefault="00F45E75" w:rsidP="00F45E75">
            <w:pPr>
              <w:rPr>
                <w:sz w:val="22"/>
                <w:szCs w:val="22"/>
                <w:lang w:eastAsia="lt-LT"/>
              </w:rPr>
            </w:pPr>
            <w:r w:rsidRPr="00FC3DF0">
              <w:rPr>
                <w:sz w:val="22"/>
                <w:szCs w:val="22"/>
                <w:lang w:eastAsia="lt-LT"/>
              </w:rPr>
              <w:t>R.S.2.3039 Metinis konsoliduotų viešųjų paslaugų vartotojų skaičius | vartotojai per metus (5.2)</w:t>
            </w:r>
          </w:p>
          <w:p w:rsidR="00F45E75" w:rsidRPr="00FC3DF0" w:rsidRDefault="00F45E75" w:rsidP="00F45E75">
            <w:pPr>
              <w:rPr>
                <w:sz w:val="22"/>
                <w:szCs w:val="22"/>
                <w:lang w:eastAsia="lt-LT"/>
              </w:rPr>
            </w:pPr>
          </w:p>
        </w:tc>
        <w:tc>
          <w:tcPr>
            <w:tcW w:w="1686" w:type="dxa"/>
            <w:vAlign w:val="center"/>
          </w:tcPr>
          <w:p w:rsidR="00F45E75" w:rsidRPr="00FC3DF0" w:rsidRDefault="00F45E75" w:rsidP="00F45E75">
            <w:pPr>
              <w:jc w:val="center"/>
              <w:rPr>
                <w:sz w:val="22"/>
                <w:szCs w:val="22"/>
                <w:lang w:eastAsia="lt-LT"/>
              </w:rPr>
            </w:pPr>
          </w:p>
        </w:tc>
        <w:tc>
          <w:tcPr>
            <w:tcW w:w="1570" w:type="dxa"/>
            <w:vAlign w:val="center"/>
          </w:tcPr>
          <w:p w:rsidR="00F45E75" w:rsidRDefault="00F45E75" w:rsidP="00F45E75">
            <w:pPr>
              <w:jc w:val="center"/>
              <w:rPr>
                <w:sz w:val="22"/>
                <w:szCs w:val="22"/>
                <w:lang w:eastAsia="lt-LT"/>
              </w:rPr>
            </w:pPr>
            <w:r>
              <w:rPr>
                <w:sz w:val="22"/>
                <w:szCs w:val="22"/>
                <w:lang w:eastAsia="lt-LT"/>
              </w:rPr>
              <w:t>89 105</w:t>
            </w:r>
          </w:p>
          <w:p w:rsidR="00F45E75" w:rsidRPr="00FC3DF0" w:rsidRDefault="00F45E75" w:rsidP="00F45E75">
            <w:pPr>
              <w:jc w:val="center"/>
              <w:rPr>
                <w:sz w:val="22"/>
                <w:szCs w:val="22"/>
                <w:lang w:eastAsia="lt-LT"/>
              </w:rPr>
            </w:pPr>
            <w:r w:rsidRPr="00FC3DF0">
              <w:rPr>
                <w:sz w:val="22"/>
                <w:szCs w:val="22"/>
                <w:lang w:eastAsia="lt-LT"/>
              </w:rPr>
              <w:t>(2029)</w:t>
            </w:r>
          </w:p>
        </w:tc>
        <w:tc>
          <w:tcPr>
            <w:tcW w:w="1290" w:type="dxa"/>
            <w:vAlign w:val="center"/>
          </w:tcPr>
          <w:p w:rsidR="00F45E75" w:rsidRDefault="00F45E75" w:rsidP="00F45E75">
            <w:pPr>
              <w:jc w:val="center"/>
              <w:rPr>
                <w:sz w:val="22"/>
                <w:szCs w:val="22"/>
                <w:lang w:eastAsia="lt-LT"/>
              </w:rPr>
            </w:pPr>
            <w:r w:rsidRPr="00FC3DF0">
              <w:rPr>
                <w:sz w:val="22"/>
                <w:szCs w:val="22"/>
                <w:lang w:eastAsia="lt-LT"/>
              </w:rPr>
              <w:t>0</w:t>
            </w:r>
          </w:p>
          <w:p w:rsidR="00F45E75" w:rsidRPr="00FC3DF0" w:rsidRDefault="00F45E75" w:rsidP="00F45E75">
            <w:pPr>
              <w:jc w:val="center"/>
              <w:rPr>
                <w:sz w:val="22"/>
                <w:szCs w:val="22"/>
                <w:lang w:eastAsia="lt-LT"/>
              </w:rPr>
            </w:pPr>
            <w:r w:rsidRPr="00FC3DF0">
              <w:rPr>
                <w:sz w:val="22"/>
                <w:szCs w:val="22"/>
                <w:lang w:eastAsia="lt-LT"/>
              </w:rPr>
              <w:t>(2024)</w:t>
            </w:r>
          </w:p>
        </w:tc>
        <w:tc>
          <w:tcPr>
            <w:tcW w:w="2434" w:type="dxa"/>
          </w:tcPr>
          <w:p w:rsidR="00F45E75" w:rsidRPr="00FC3DF0" w:rsidRDefault="00F45E75" w:rsidP="00F45E75">
            <w:pPr>
              <w:jc w:val="both"/>
              <w:rPr>
                <w:i/>
                <w:color w:val="808080"/>
                <w:sz w:val="22"/>
                <w:szCs w:val="22"/>
              </w:rPr>
            </w:pPr>
          </w:p>
        </w:tc>
        <w:tc>
          <w:tcPr>
            <w:tcW w:w="2552" w:type="dxa"/>
          </w:tcPr>
          <w:p w:rsidR="00F45E75" w:rsidRPr="00FC3DF0" w:rsidRDefault="00F45E75" w:rsidP="00F45E75">
            <w:pPr>
              <w:spacing w:after="80"/>
              <w:jc w:val="center"/>
              <w:rPr>
                <w:i/>
                <w:color w:val="808080"/>
                <w:sz w:val="22"/>
                <w:szCs w:val="22"/>
                <w:lang w:val="en-US"/>
              </w:rPr>
            </w:pPr>
            <w:r w:rsidRPr="00B60497">
              <w:rPr>
                <w:iCs/>
                <w:sz w:val="22"/>
                <w:szCs w:val="22"/>
              </w:rPr>
              <w:t>Rodiklio nepasiekimo rizikos nėra</w:t>
            </w:r>
          </w:p>
        </w:tc>
      </w:tr>
      <w:tr w:rsidR="00F45E75" w:rsidRPr="00FC3DF0" w:rsidTr="007463D0">
        <w:tc>
          <w:tcPr>
            <w:tcW w:w="1829" w:type="dxa"/>
            <w:vMerge/>
          </w:tcPr>
          <w:p w:rsidR="00F45E75" w:rsidRPr="00FC3DF0" w:rsidRDefault="00F45E75" w:rsidP="00F45E75">
            <w:pPr>
              <w:ind w:left="360" w:hanging="360"/>
              <w:rPr>
                <w:i/>
                <w:color w:val="808080"/>
                <w:sz w:val="22"/>
                <w:szCs w:val="22"/>
              </w:rPr>
            </w:pPr>
          </w:p>
        </w:tc>
        <w:tc>
          <w:tcPr>
            <w:tcW w:w="2101" w:type="dxa"/>
            <w:vAlign w:val="center"/>
          </w:tcPr>
          <w:p w:rsidR="00F45E75" w:rsidRDefault="00F45E75" w:rsidP="00F45E75">
            <w:pPr>
              <w:rPr>
                <w:color w:val="000000"/>
                <w:sz w:val="22"/>
                <w:szCs w:val="22"/>
              </w:rPr>
            </w:pPr>
            <w:r w:rsidRPr="00FC3DF0">
              <w:rPr>
                <w:color w:val="000000"/>
                <w:sz w:val="22"/>
                <w:szCs w:val="22"/>
              </w:rPr>
              <w:t>Bendrai teikiamų viešųjų paslaugų skaičius, vnt.</w:t>
            </w:r>
          </w:p>
          <w:p w:rsidR="00F45E75" w:rsidRPr="00FC3DF0" w:rsidRDefault="00F45E75" w:rsidP="00F45E75">
            <w:pPr>
              <w:rPr>
                <w:sz w:val="22"/>
                <w:szCs w:val="22"/>
                <w:lang w:eastAsia="lt-LT"/>
              </w:rPr>
            </w:pPr>
          </w:p>
        </w:tc>
        <w:tc>
          <w:tcPr>
            <w:tcW w:w="1686" w:type="dxa"/>
            <w:vAlign w:val="center"/>
          </w:tcPr>
          <w:p w:rsidR="00F45E75" w:rsidRPr="00FC3DF0" w:rsidRDefault="00F45E75" w:rsidP="00F45E75">
            <w:pPr>
              <w:jc w:val="center"/>
              <w:rPr>
                <w:sz w:val="22"/>
                <w:szCs w:val="22"/>
                <w:lang w:eastAsia="lt-LT"/>
              </w:rPr>
            </w:pPr>
          </w:p>
        </w:tc>
        <w:tc>
          <w:tcPr>
            <w:tcW w:w="1570" w:type="dxa"/>
            <w:vAlign w:val="center"/>
          </w:tcPr>
          <w:p w:rsidR="00F45E75" w:rsidRPr="00FC3DF0" w:rsidRDefault="00F45E75" w:rsidP="00F45E75">
            <w:pPr>
              <w:jc w:val="center"/>
              <w:rPr>
                <w:sz w:val="22"/>
                <w:szCs w:val="22"/>
              </w:rPr>
            </w:pPr>
            <w:r w:rsidRPr="00FC3DF0">
              <w:rPr>
                <w:sz w:val="22"/>
                <w:szCs w:val="22"/>
              </w:rPr>
              <w:t>2</w:t>
            </w:r>
          </w:p>
          <w:p w:rsidR="00F45E75" w:rsidRPr="00FC3DF0" w:rsidRDefault="00F45E75" w:rsidP="00F45E75">
            <w:pPr>
              <w:jc w:val="center"/>
              <w:rPr>
                <w:sz w:val="22"/>
                <w:szCs w:val="22"/>
              </w:rPr>
            </w:pPr>
            <w:r w:rsidRPr="00FC3DF0">
              <w:rPr>
                <w:sz w:val="22"/>
                <w:szCs w:val="22"/>
              </w:rPr>
              <w:t>(2029)</w:t>
            </w:r>
          </w:p>
          <w:p w:rsidR="00F45E75" w:rsidRPr="00FC3DF0" w:rsidRDefault="00F45E75" w:rsidP="00F45E75">
            <w:pPr>
              <w:jc w:val="center"/>
              <w:rPr>
                <w:sz w:val="22"/>
                <w:szCs w:val="22"/>
                <w:lang w:eastAsia="lt-LT"/>
              </w:rPr>
            </w:pPr>
          </w:p>
        </w:tc>
        <w:tc>
          <w:tcPr>
            <w:tcW w:w="1290" w:type="dxa"/>
            <w:vAlign w:val="center"/>
          </w:tcPr>
          <w:p w:rsidR="00F45E75" w:rsidRDefault="00F45E75" w:rsidP="00F45E75">
            <w:pPr>
              <w:jc w:val="center"/>
              <w:rPr>
                <w:sz w:val="22"/>
                <w:szCs w:val="22"/>
                <w:lang w:eastAsia="lt-LT"/>
              </w:rPr>
            </w:pPr>
            <w:r w:rsidRPr="00FC3DF0">
              <w:rPr>
                <w:sz w:val="22"/>
                <w:szCs w:val="22"/>
                <w:lang w:eastAsia="lt-LT"/>
              </w:rPr>
              <w:t>0</w:t>
            </w:r>
          </w:p>
          <w:p w:rsidR="00F45E75" w:rsidRDefault="00F45E75" w:rsidP="00F45E75">
            <w:pPr>
              <w:jc w:val="center"/>
              <w:rPr>
                <w:sz w:val="22"/>
                <w:szCs w:val="22"/>
                <w:lang w:eastAsia="lt-LT"/>
              </w:rPr>
            </w:pPr>
            <w:r w:rsidRPr="00FC3DF0">
              <w:rPr>
                <w:sz w:val="22"/>
                <w:szCs w:val="22"/>
                <w:lang w:eastAsia="lt-LT"/>
              </w:rPr>
              <w:t>(2024)</w:t>
            </w:r>
          </w:p>
          <w:p w:rsidR="00F45E75" w:rsidRPr="00FC3DF0" w:rsidRDefault="00F45E75" w:rsidP="00F45E75">
            <w:pPr>
              <w:jc w:val="center"/>
              <w:rPr>
                <w:sz w:val="22"/>
                <w:szCs w:val="22"/>
                <w:lang w:eastAsia="lt-LT"/>
              </w:rPr>
            </w:pPr>
          </w:p>
        </w:tc>
        <w:tc>
          <w:tcPr>
            <w:tcW w:w="2434" w:type="dxa"/>
          </w:tcPr>
          <w:p w:rsidR="00F45E75" w:rsidRPr="00BF5D0A" w:rsidRDefault="00F45E75" w:rsidP="00F45E75">
            <w:pPr>
              <w:spacing w:after="80"/>
              <w:jc w:val="both"/>
              <w:rPr>
                <w:iCs/>
                <w:color w:val="808080"/>
                <w:sz w:val="22"/>
                <w:szCs w:val="22"/>
              </w:rPr>
            </w:pPr>
          </w:p>
        </w:tc>
        <w:tc>
          <w:tcPr>
            <w:tcW w:w="2552" w:type="dxa"/>
          </w:tcPr>
          <w:p w:rsidR="00F45E75" w:rsidRPr="00442691" w:rsidRDefault="00F45E75" w:rsidP="00F45E75">
            <w:pPr>
              <w:jc w:val="center"/>
              <w:rPr>
                <w:iCs/>
                <w:color w:val="808080"/>
                <w:sz w:val="22"/>
                <w:szCs w:val="22"/>
                <w:lang w:val="en-US"/>
              </w:rPr>
            </w:pPr>
            <w:r w:rsidRPr="00B60497">
              <w:rPr>
                <w:iCs/>
                <w:sz w:val="22"/>
                <w:szCs w:val="22"/>
              </w:rPr>
              <w:t>Rodiklio nepasiekimo rizikos nėra</w:t>
            </w:r>
          </w:p>
        </w:tc>
      </w:tr>
      <w:tr w:rsidR="00ED2F48" w:rsidRPr="00FC3DF0" w:rsidTr="009539BA">
        <w:tc>
          <w:tcPr>
            <w:tcW w:w="1829" w:type="dxa"/>
          </w:tcPr>
          <w:p w:rsidR="00ED2F48" w:rsidRPr="00B30349" w:rsidRDefault="00ED2F48" w:rsidP="00ED2F48">
            <w:pPr>
              <w:ind w:left="360" w:hanging="360"/>
              <w:rPr>
                <w:i/>
                <w:color w:val="808080"/>
                <w:sz w:val="22"/>
                <w:szCs w:val="22"/>
              </w:rPr>
            </w:pPr>
            <w:r w:rsidRPr="00696A77">
              <w:rPr>
                <w:iCs/>
                <w:sz w:val="22"/>
                <w:szCs w:val="22"/>
              </w:rPr>
              <w:t>1.3</w:t>
            </w:r>
            <w:r w:rsidRPr="00B30349">
              <w:rPr>
                <w:i/>
                <w:sz w:val="22"/>
                <w:szCs w:val="22"/>
              </w:rPr>
              <w:t>.</w:t>
            </w:r>
            <w:r>
              <w:rPr>
                <w:i/>
                <w:sz w:val="22"/>
                <w:szCs w:val="22"/>
              </w:rPr>
              <w:t> </w:t>
            </w:r>
            <w:r w:rsidRPr="00B30349">
              <w:rPr>
                <w:rFonts w:eastAsia="Calibri"/>
                <w:iCs/>
                <w:sz w:val="22"/>
                <w:szCs w:val="22"/>
              </w:rPr>
              <w:t>Paskatinti rūšiuojamąjį atliekų surinkimą</w:t>
            </w:r>
          </w:p>
        </w:tc>
        <w:tc>
          <w:tcPr>
            <w:tcW w:w="2101" w:type="dxa"/>
          </w:tcPr>
          <w:p w:rsidR="00ED2F48" w:rsidRDefault="00ED2F48" w:rsidP="00ED2F48">
            <w:pPr>
              <w:rPr>
                <w:sz w:val="22"/>
                <w:szCs w:val="22"/>
                <w:lang w:eastAsia="lt-LT"/>
              </w:rPr>
            </w:pPr>
            <w:r w:rsidRPr="00FC3DF0">
              <w:rPr>
                <w:sz w:val="22"/>
                <w:szCs w:val="22"/>
                <w:lang w:eastAsia="lt-LT"/>
              </w:rPr>
              <w:t>RCR103/R.B.2.2103 Surinktos atskirai išrūšiuotos atliekos | tonos per metus</w:t>
            </w:r>
          </w:p>
          <w:p w:rsidR="00ED2F48" w:rsidRPr="00FC3DF0" w:rsidRDefault="00ED2F48" w:rsidP="00ED2F48">
            <w:pPr>
              <w:rPr>
                <w:i/>
                <w:color w:val="808080"/>
                <w:sz w:val="22"/>
                <w:szCs w:val="22"/>
              </w:rPr>
            </w:pPr>
          </w:p>
        </w:tc>
        <w:tc>
          <w:tcPr>
            <w:tcW w:w="1686" w:type="dxa"/>
            <w:vAlign w:val="center"/>
          </w:tcPr>
          <w:p w:rsidR="00ED2F48" w:rsidRDefault="00ED2F48" w:rsidP="00ED2F48">
            <w:pPr>
              <w:jc w:val="center"/>
              <w:rPr>
                <w:b/>
                <w:color w:val="808080"/>
                <w:sz w:val="22"/>
                <w:szCs w:val="22"/>
              </w:rPr>
            </w:pPr>
          </w:p>
          <w:p w:rsidR="00ED2F48" w:rsidRPr="00FC3DF0" w:rsidRDefault="00ED2F48" w:rsidP="00ED2F48">
            <w:pPr>
              <w:jc w:val="center"/>
              <w:rPr>
                <w:b/>
                <w:color w:val="808080"/>
                <w:sz w:val="22"/>
                <w:szCs w:val="22"/>
              </w:rPr>
            </w:pPr>
          </w:p>
        </w:tc>
        <w:tc>
          <w:tcPr>
            <w:tcW w:w="1570" w:type="dxa"/>
            <w:vAlign w:val="center"/>
          </w:tcPr>
          <w:p w:rsidR="00ED2F48" w:rsidRDefault="00ED2F48" w:rsidP="00ED2F48">
            <w:pPr>
              <w:jc w:val="center"/>
              <w:rPr>
                <w:sz w:val="22"/>
                <w:szCs w:val="22"/>
                <w:lang w:eastAsia="lt-LT"/>
              </w:rPr>
            </w:pPr>
            <w:r w:rsidRPr="00FC3DF0">
              <w:rPr>
                <w:sz w:val="22"/>
                <w:szCs w:val="22"/>
                <w:lang w:eastAsia="lt-LT"/>
              </w:rPr>
              <w:t>6</w:t>
            </w:r>
            <w:r>
              <w:rPr>
                <w:sz w:val="22"/>
                <w:szCs w:val="22"/>
                <w:lang w:eastAsia="lt-LT"/>
              </w:rPr>
              <w:t> </w:t>
            </w:r>
            <w:r w:rsidRPr="00FC3DF0">
              <w:rPr>
                <w:sz w:val="22"/>
                <w:szCs w:val="22"/>
                <w:lang w:eastAsia="lt-LT"/>
              </w:rPr>
              <w:t>231</w:t>
            </w:r>
          </w:p>
          <w:p w:rsidR="00ED2F48" w:rsidRDefault="00ED2F48" w:rsidP="00ED2F48">
            <w:pPr>
              <w:jc w:val="center"/>
              <w:rPr>
                <w:sz w:val="22"/>
                <w:szCs w:val="22"/>
                <w:lang w:eastAsia="lt-LT"/>
              </w:rPr>
            </w:pPr>
            <w:r w:rsidRPr="00FC3DF0">
              <w:rPr>
                <w:sz w:val="22"/>
                <w:szCs w:val="22"/>
                <w:lang w:eastAsia="lt-LT"/>
              </w:rPr>
              <w:t>(2029)</w:t>
            </w:r>
          </w:p>
          <w:p w:rsidR="00ED2F48" w:rsidRPr="00FC3DF0" w:rsidRDefault="00ED2F48" w:rsidP="00ED2F48">
            <w:pPr>
              <w:jc w:val="center"/>
              <w:rPr>
                <w:b/>
                <w:color w:val="808080"/>
                <w:sz w:val="22"/>
                <w:szCs w:val="22"/>
              </w:rPr>
            </w:pPr>
          </w:p>
        </w:tc>
        <w:tc>
          <w:tcPr>
            <w:tcW w:w="1290" w:type="dxa"/>
            <w:vAlign w:val="center"/>
          </w:tcPr>
          <w:p w:rsidR="00ED2F48" w:rsidRDefault="00ED2F48" w:rsidP="00ED2F48">
            <w:pPr>
              <w:jc w:val="center"/>
              <w:rPr>
                <w:sz w:val="22"/>
                <w:szCs w:val="22"/>
                <w:lang w:eastAsia="lt-LT"/>
              </w:rPr>
            </w:pPr>
            <w:r w:rsidRPr="00FC3DF0">
              <w:rPr>
                <w:sz w:val="22"/>
                <w:szCs w:val="22"/>
                <w:lang w:eastAsia="lt-LT"/>
              </w:rPr>
              <w:t>0</w:t>
            </w:r>
          </w:p>
          <w:p w:rsidR="00ED2F48" w:rsidRDefault="00ED2F48" w:rsidP="00ED2F48">
            <w:pPr>
              <w:jc w:val="center"/>
              <w:rPr>
                <w:sz w:val="22"/>
                <w:szCs w:val="22"/>
                <w:lang w:eastAsia="lt-LT"/>
              </w:rPr>
            </w:pPr>
            <w:r w:rsidRPr="00FC3DF0">
              <w:rPr>
                <w:sz w:val="22"/>
                <w:szCs w:val="22"/>
                <w:lang w:eastAsia="lt-LT"/>
              </w:rPr>
              <w:t>(2024)</w:t>
            </w:r>
          </w:p>
          <w:p w:rsidR="00ED2F48" w:rsidRPr="00FC3DF0" w:rsidRDefault="00ED2F48" w:rsidP="00ED2F48">
            <w:pPr>
              <w:jc w:val="center"/>
              <w:rPr>
                <w:b/>
                <w:color w:val="808080"/>
                <w:sz w:val="22"/>
                <w:szCs w:val="22"/>
              </w:rPr>
            </w:pPr>
          </w:p>
        </w:tc>
        <w:tc>
          <w:tcPr>
            <w:tcW w:w="2434" w:type="dxa"/>
            <w:vAlign w:val="center"/>
          </w:tcPr>
          <w:p w:rsidR="00ED2F48" w:rsidRPr="00FC3DF0" w:rsidRDefault="00ED2F48" w:rsidP="00ED2F48">
            <w:pPr>
              <w:jc w:val="both"/>
              <w:rPr>
                <w:i/>
                <w:color w:val="808080"/>
                <w:sz w:val="22"/>
                <w:szCs w:val="22"/>
              </w:rPr>
            </w:pPr>
          </w:p>
        </w:tc>
        <w:tc>
          <w:tcPr>
            <w:tcW w:w="2552" w:type="dxa"/>
            <w:vAlign w:val="center"/>
          </w:tcPr>
          <w:p w:rsidR="00ED2F48" w:rsidRPr="00FC3DF0" w:rsidRDefault="00F45E75" w:rsidP="00ED2F48">
            <w:pPr>
              <w:jc w:val="center"/>
              <w:rPr>
                <w:i/>
                <w:color w:val="808080"/>
                <w:sz w:val="22"/>
                <w:szCs w:val="22"/>
              </w:rPr>
            </w:pPr>
            <w:r w:rsidRPr="00A641D3">
              <w:rPr>
                <w:iCs/>
                <w:sz w:val="22"/>
                <w:szCs w:val="22"/>
              </w:rPr>
              <w:t>Rodiklio nepasiekimo rizikos nėra</w:t>
            </w:r>
          </w:p>
        </w:tc>
      </w:tr>
    </w:tbl>
    <w:p w:rsidR="00513965" w:rsidRPr="00FC3DF0" w:rsidRDefault="00513965">
      <w:pPr>
        <w:jc w:val="both"/>
        <w:rPr>
          <w:b/>
          <w:sz w:val="22"/>
          <w:szCs w:val="22"/>
          <w:u w:val="single"/>
        </w:rPr>
      </w:pPr>
    </w:p>
    <w:p w:rsidR="00D634E8" w:rsidRDefault="00F37FDA">
      <w:pPr>
        <w:jc w:val="both"/>
        <w:rPr>
          <w:b/>
          <w:szCs w:val="24"/>
          <w:u w:val="single"/>
        </w:rPr>
      </w:pPr>
      <w:r>
        <w:rPr>
          <w:b/>
          <w:szCs w:val="24"/>
          <w:u w:val="single"/>
        </w:rPr>
        <w:t>2.Integruotą požiūrį užtikrinančių principų laikymasis:</w:t>
      </w:r>
    </w:p>
    <w:p w:rsidR="00D634E8" w:rsidRPr="009539BA" w:rsidRDefault="00D634E8">
      <w:pPr>
        <w:jc w:val="both"/>
        <w:rPr>
          <w:sz w:val="22"/>
          <w:szCs w:val="22"/>
          <w:highlight w:val="yellow"/>
          <w:u w:val="single"/>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1701"/>
        <w:gridCol w:w="7088"/>
      </w:tblGrid>
      <w:tr w:rsidR="00D634E8" w:rsidRPr="009539BA" w:rsidTr="00AD45A9">
        <w:trPr>
          <w:trHeight w:val="96"/>
        </w:trPr>
        <w:tc>
          <w:tcPr>
            <w:tcW w:w="5103" w:type="dxa"/>
            <w:shd w:val="pct5" w:color="auto" w:fill="auto"/>
          </w:tcPr>
          <w:p w:rsidR="00D634E8" w:rsidRPr="009539BA" w:rsidRDefault="00F37FDA">
            <w:pPr>
              <w:suppressAutoHyphens/>
              <w:jc w:val="center"/>
              <w:rPr>
                <w:rFonts w:eastAsia="Calibri"/>
                <w:b/>
                <w:sz w:val="22"/>
                <w:szCs w:val="22"/>
              </w:rPr>
            </w:pPr>
            <w:r w:rsidRPr="009539BA">
              <w:rPr>
                <w:rFonts w:eastAsia="Calibri"/>
                <w:b/>
                <w:sz w:val="22"/>
                <w:szCs w:val="22"/>
              </w:rPr>
              <w:t>Principai</w:t>
            </w:r>
          </w:p>
        </w:tc>
        <w:tc>
          <w:tcPr>
            <w:tcW w:w="1701" w:type="dxa"/>
            <w:shd w:val="pct5" w:color="auto" w:fill="auto"/>
          </w:tcPr>
          <w:p w:rsidR="00D634E8" w:rsidRPr="009539BA" w:rsidRDefault="00F37FDA">
            <w:pPr>
              <w:suppressAutoHyphens/>
              <w:jc w:val="center"/>
              <w:rPr>
                <w:rFonts w:ascii="Calibri" w:eastAsia="Calibri" w:hAnsi="Calibri" w:cs="Vrinda"/>
                <w:sz w:val="22"/>
                <w:szCs w:val="22"/>
              </w:rPr>
            </w:pPr>
            <w:r w:rsidRPr="009539BA">
              <w:rPr>
                <w:rFonts w:eastAsia="Calibri"/>
                <w:b/>
                <w:sz w:val="22"/>
                <w:szCs w:val="22"/>
              </w:rPr>
              <w:t>Ar laikomasi</w:t>
            </w:r>
          </w:p>
        </w:tc>
        <w:tc>
          <w:tcPr>
            <w:tcW w:w="7088" w:type="dxa"/>
            <w:shd w:val="pct5" w:color="auto" w:fill="auto"/>
          </w:tcPr>
          <w:p w:rsidR="00D634E8" w:rsidRPr="009539BA" w:rsidRDefault="00F37FDA">
            <w:pPr>
              <w:suppressAutoHyphens/>
              <w:jc w:val="center"/>
              <w:rPr>
                <w:rFonts w:eastAsia="Calibri"/>
                <w:b/>
                <w:sz w:val="22"/>
                <w:szCs w:val="22"/>
              </w:rPr>
            </w:pPr>
            <w:r w:rsidRPr="009539BA">
              <w:rPr>
                <w:rFonts w:eastAsia="Calibri"/>
                <w:b/>
                <w:sz w:val="22"/>
                <w:szCs w:val="22"/>
              </w:rPr>
              <w:t>Komentarai</w:t>
            </w:r>
          </w:p>
        </w:tc>
      </w:tr>
      <w:tr w:rsidR="00D634E8" w:rsidRPr="009539BA" w:rsidTr="00AD45A9">
        <w:trPr>
          <w:trHeight w:val="96"/>
        </w:trPr>
        <w:tc>
          <w:tcPr>
            <w:tcW w:w="5103" w:type="dxa"/>
            <w:shd w:val="pct5" w:color="auto" w:fill="auto"/>
          </w:tcPr>
          <w:p w:rsidR="00D634E8" w:rsidRPr="009539BA" w:rsidRDefault="00F37FDA">
            <w:pPr>
              <w:suppressAutoHyphens/>
              <w:jc w:val="center"/>
              <w:rPr>
                <w:rFonts w:eastAsia="Calibri"/>
                <w:b/>
                <w:sz w:val="22"/>
                <w:szCs w:val="22"/>
              </w:rPr>
            </w:pPr>
            <w:r w:rsidRPr="009539BA">
              <w:rPr>
                <w:rFonts w:eastAsia="Calibri"/>
                <w:b/>
                <w:sz w:val="22"/>
                <w:szCs w:val="22"/>
              </w:rPr>
              <w:t>1</w:t>
            </w:r>
          </w:p>
        </w:tc>
        <w:tc>
          <w:tcPr>
            <w:tcW w:w="1701" w:type="dxa"/>
            <w:shd w:val="pct5" w:color="auto" w:fill="auto"/>
          </w:tcPr>
          <w:p w:rsidR="00D634E8" w:rsidRPr="009539BA" w:rsidRDefault="00F37FDA">
            <w:pPr>
              <w:suppressAutoHyphens/>
              <w:jc w:val="center"/>
              <w:rPr>
                <w:rFonts w:eastAsia="Calibri"/>
                <w:b/>
                <w:sz w:val="22"/>
                <w:szCs w:val="22"/>
              </w:rPr>
            </w:pPr>
            <w:r w:rsidRPr="009539BA">
              <w:rPr>
                <w:rFonts w:eastAsia="Calibri"/>
                <w:b/>
                <w:sz w:val="22"/>
                <w:szCs w:val="22"/>
              </w:rPr>
              <w:t>2</w:t>
            </w:r>
          </w:p>
        </w:tc>
        <w:tc>
          <w:tcPr>
            <w:tcW w:w="7088" w:type="dxa"/>
            <w:shd w:val="pct5" w:color="auto" w:fill="auto"/>
          </w:tcPr>
          <w:p w:rsidR="00D634E8" w:rsidRPr="009539BA" w:rsidRDefault="00F37FDA">
            <w:pPr>
              <w:suppressAutoHyphens/>
              <w:jc w:val="center"/>
              <w:rPr>
                <w:rFonts w:eastAsia="Calibri"/>
                <w:b/>
                <w:sz w:val="22"/>
                <w:szCs w:val="22"/>
              </w:rPr>
            </w:pPr>
            <w:r w:rsidRPr="009539BA">
              <w:rPr>
                <w:rFonts w:eastAsia="Calibri"/>
                <w:b/>
                <w:sz w:val="22"/>
                <w:szCs w:val="22"/>
              </w:rPr>
              <w:t>3</w:t>
            </w:r>
          </w:p>
        </w:tc>
      </w:tr>
      <w:tr w:rsidR="00D634E8" w:rsidRPr="009539BA" w:rsidTr="00AD45A9">
        <w:trPr>
          <w:trHeight w:val="96"/>
        </w:trPr>
        <w:tc>
          <w:tcPr>
            <w:tcW w:w="5103" w:type="dxa"/>
            <w:shd w:val="clear" w:color="auto" w:fill="auto"/>
          </w:tcPr>
          <w:p w:rsidR="00D634E8" w:rsidRPr="009539BA" w:rsidRDefault="00F37FDA">
            <w:pPr>
              <w:suppressAutoHyphens/>
              <w:jc w:val="both"/>
              <w:rPr>
                <w:rFonts w:eastAsia="Calibri"/>
                <w:sz w:val="22"/>
                <w:szCs w:val="22"/>
              </w:rPr>
            </w:pPr>
            <w:bookmarkStart w:id="0" w:name="_Hlk188909624"/>
            <w:bookmarkStart w:id="1" w:name="_Hlk188993517"/>
            <w:r w:rsidRPr="009539BA">
              <w:rPr>
                <w:rFonts w:eastAsia="Calibri"/>
                <w:sz w:val="22"/>
                <w:szCs w:val="22"/>
              </w:rPr>
              <w:t>Strategija prisidedama prie</w:t>
            </w:r>
            <w:r w:rsidRPr="009539BA">
              <w:rPr>
                <w:sz w:val="22"/>
                <w:szCs w:val="22"/>
              </w:rPr>
              <w:t xml:space="preserve"> 2021–2027 m. Europos Sąjungos fondų investicijų programos (toliau – ESFIP) 5-ojo prioriteto „Piliečiams artimesnė Lietuva“ ir dar bent vieno kito ESFIP prioriteto </w:t>
            </w:r>
            <w:r w:rsidRPr="009539BA">
              <w:rPr>
                <w:rFonts w:eastAsia="Calibri"/>
                <w:sz w:val="22"/>
                <w:szCs w:val="22"/>
              </w:rPr>
              <w:t xml:space="preserve">įgyvendinimo </w:t>
            </w:r>
            <w:bookmarkEnd w:id="0"/>
          </w:p>
        </w:tc>
        <w:tc>
          <w:tcPr>
            <w:tcW w:w="1701" w:type="dxa"/>
            <w:shd w:val="clear" w:color="auto" w:fill="auto"/>
          </w:tcPr>
          <w:p w:rsidR="00D634E8" w:rsidRPr="009539BA" w:rsidRDefault="00C7004A">
            <w:pPr>
              <w:suppressAutoHyphens/>
              <w:jc w:val="both"/>
              <w:rPr>
                <w:rFonts w:eastAsia="Calibri"/>
                <w:b/>
                <w:bCs/>
                <w:i/>
                <w:sz w:val="22"/>
                <w:szCs w:val="22"/>
              </w:rPr>
            </w:pPr>
            <w:r w:rsidRPr="00F45E75">
              <w:rPr>
                <w:rFonts w:eastAsia="Calibri"/>
                <w:b/>
                <w:bCs/>
                <w:i/>
                <w:sz w:val="22"/>
                <w:szCs w:val="22"/>
              </w:rPr>
              <w:t>TAIP</w:t>
            </w:r>
          </w:p>
        </w:tc>
        <w:tc>
          <w:tcPr>
            <w:tcW w:w="7088" w:type="dxa"/>
            <w:shd w:val="clear" w:color="auto" w:fill="auto"/>
          </w:tcPr>
          <w:p w:rsidR="00112B66" w:rsidRPr="009539BA" w:rsidRDefault="00112B66" w:rsidP="00480F00">
            <w:pPr>
              <w:pStyle w:val="prastasiniatinklio"/>
              <w:spacing w:before="0" w:beforeAutospacing="0" w:after="0" w:afterAutospacing="0"/>
              <w:jc w:val="both"/>
              <w:rPr>
                <w:sz w:val="22"/>
                <w:szCs w:val="22"/>
              </w:rPr>
            </w:pPr>
            <w:r w:rsidRPr="009539BA">
              <w:rPr>
                <w:rStyle w:val="Grietas"/>
                <w:b w:val="0"/>
                <w:bCs w:val="0"/>
                <w:sz w:val="22"/>
                <w:szCs w:val="22"/>
              </w:rPr>
              <w:t>Strategija</w:t>
            </w:r>
            <w:r w:rsidRPr="009539BA">
              <w:rPr>
                <w:sz w:val="22"/>
                <w:szCs w:val="22"/>
              </w:rPr>
              <w:t xml:space="preserve"> reikšmingai prisideda prie 2021–2027 m. Europos Sąjungos fondų investicijų programos (ESFIP) prioritetų įgyvendinimo. Pagal strategijos uždavinius </w:t>
            </w:r>
            <w:r w:rsidRPr="009539BA">
              <w:rPr>
                <w:rStyle w:val="Grietas"/>
                <w:b w:val="0"/>
                <w:bCs w:val="0"/>
                <w:sz w:val="22"/>
                <w:szCs w:val="22"/>
              </w:rPr>
              <w:t>1.1 „Paskatinti turizmo plėtrą“</w:t>
            </w:r>
            <w:r w:rsidRPr="009539BA">
              <w:rPr>
                <w:sz w:val="22"/>
                <w:szCs w:val="22"/>
              </w:rPr>
              <w:t xml:space="preserve"> ir </w:t>
            </w:r>
            <w:r w:rsidRPr="009539BA">
              <w:rPr>
                <w:rStyle w:val="Grietas"/>
                <w:b w:val="0"/>
                <w:bCs w:val="0"/>
                <w:sz w:val="22"/>
                <w:szCs w:val="22"/>
              </w:rPr>
              <w:t>1.2 „Užtikrinti kompetencijų, reikalingų ateities ekonomikai, ugdymą“</w:t>
            </w:r>
            <w:r w:rsidRPr="009539BA">
              <w:rPr>
                <w:sz w:val="22"/>
                <w:szCs w:val="22"/>
              </w:rPr>
              <w:t xml:space="preserve"> numatomi vykdyti veiksmai prisideda prie ESFIP 5-ojo prioriteto </w:t>
            </w:r>
            <w:r w:rsidRPr="009539BA">
              <w:rPr>
                <w:rStyle w:val="Grietas"/>
                <w:b w:val="0"/>
                <w:bCs w:val="0"/>
                <w:sz w:val="22"/>
                <w:szCs w:val="22"/>
              </w:rPr>
              <w:t>„Piliečiams artimesnė Lietuva“</w:t>
            </w:r>
            <w:r w:rsidRPr="009539BA">
              <w:rPr>
                <w:sz w:val="22"/>
                <w:szCs w:val="22"/>
              </w:rPr>
              <w:t xml:space="preserve"> 5.2 uždavinio </w:t>
            </w:r>
            <w:r w:rsidRPr="009539BA">
              <w:rPr>
                <w:rStyle w:val="Grietas"/>
                <w:b w:val="0"/>
                <w:bCs w:val="0"/>
                <w:sz w:val="22"/>
                <w:szCs w:val="22"/>
              </w:rPr>
              <w:t>„Skatinti integruotą ir įtraukią socialinę, ekonominę ir aplinkosaugos plėtrą vietos lygmeniu, puoselėti kultūrą, gamtos paveldą, darnų turizmą ir saugumą kitose nei miestų teritorijose“</w:t>
            </w:r>
            <w:r w:rsidRPr="009539BA">
              <w:rPr>
                <w:sz w:val="22"/>
                <w:szCs w:val="22"/>
              </w:rPr>
              <w:t xml:space="preserve"> įgyvendinimo. Strategija apima šias veiklas:</w:t>
            </w:r>
          </w:p>
          <w:p w:rsidR="00112B66" w:rsidRPr="009539BA" w:rsidRDefault="00112B66" w:rsidP="00CD5782">
            <w:pPr>
              <w:pStyle w:val="Komentarotekstas"/>
              <w:rPr>
                <w:sz w:val="22"/>
                <w:szCs w:val="22"/>
              </w:rPr>
            </w:pPr>
            <w:r w:rsidRPr="009539BA">
              <w:rPr>
                <w:rStyle w:val="Grietas"/>
                <w:sz w:val="22"/>
                <w:szCs w:val="22"/>
              </w:rPr>
              <w:t>1. Turizmo plėtra</w:t>
            </w:r>
            <w:r w:rsidRPr="009539BA">
              <w:rPr>
                <w:rStyle w:val="Grietas"/>
                <w:b w:val="0"/>
                <w:bCs w:val="0"/>
                <w:sz w:val="22"/>
                <w:szCs w:val="22"/>
              </w:rPr>
              <w:t xml:space="preserve">. </w:t>
            </w:r>
            <w:r w:rsidRPr="009539BA">
              <w:rPr>
                <w:sz w:val="22"/>
                <w:szCs w:val="22"/>
              </w:rPr>
              <w:t>Įgyvendinami projektai, skirti</w:t>
            </w:r>
            <w:r w:rsidR="00B667C1" w:rsidRPr="009539BA">
              <w:rPr>
                <w:sz w:val="22"/>
                <w:szCs w:val="22"/>
              </w:rPr>
              <w:t xml:space="preserve"> gamtos ir kultū</w:t>
            </w:r>
            <w:r w:rsidR="00CD5782" w:rsidRPr="009539BA">
              <w:rPr>
                <w:sz w:val="22"/>
                <w:szCs w:val="22"/>
              </w:rPr>
              <w:t>ros</w:t>
            </w:r>
            <w:r w:rsidR="00B667C1" w:rsidRPr="009539BA">
              <w:rPr>
                <w:sz w:val="22"/>
                <w:szCs w:val="22"/>
              </w:rPr>
              <w:t xml:space="preserve"> objektus pritaikyti lankyti.</w:t>
            </w:r>
            <w:r w:rsidR="00CD5782" w:rsidRPr="009539BA">
              <w:rPr>
                <w:sz w:val="22"/>
                <w:szCs w:val="22"/>
              </w:rPr>
              <w:t xml:space="preserve"> </w:t>
            </w:r>
            <w:r w:rsidRPr="009539BA">
              <w:rPr>
                <w:sz w:val="22"/>
                <w:szCs w:val="22"/>
              </w:rPr>
              <w:t xml:space="preserve">Planuojama sukurti arba atkurti </w:t>
            </w:r>
            <w:r w:rsidRPr="009539BA">
              <w:rPr>
                <w:rStyle w:val="Grietas"/>
                <w:b w:val="0"/>
                <w:bCs w:val="0"/>
                <w:sz w:val="22"/>
                <w:szCs w:val="22"/>
              </w:rPr>
              <w:t>246,05 ha</w:t>
            </w:r>
            <w:r w:rsidRPr="009539BA">
              <w:rPr>
                <w:sz w:val="22"/>
                <w:szCs w:val="22"/>
              </w:rPr>
              <w:t xml:space="preserve"> teritorijų, skirtų ekonominei, rekreacinei ar turizmo veiklai iki 2029 m. </w:t>
            </w:r>
          </w:p>
          <w:p w:rsidR="00112B66" w:rsidRPr="009539BA" w:rsidRDefault="00112B66" w:rsidP="00480F00">
            <w:pPr>
              <w:pStyle w:val="prastasiniatinklio"/>
              <w:spacing w:before="0" w:beforeAutospacing="0" w:after="120" w:afterAutospacing="0"/>
              <w:jc w:val="both"/>
              <w:rPr>
                <w:sz w:val="22"/>
                <w:szCs w:val="22"/>
              </w:rPr>
            </w:pPr>
            <w:r w:rsidRPr="009539BA">
              <w:rPr>
                <w:rStyle w:val="Grietas"/>
                <w:sz w:val="22"/>
                <w:szCs w:val="22"/>
              </w:rPr>
              <w:t xml:space="preserve">2. Kompetencijų ugdymas. </w:t>
            </w:r>
            <w:r w:rsidRPr="009539BA">
              <w:rPr>
                <w:sz w:val="22"/>
                <w:szCs w:val="22"/>
              </w:rPr>
              <w:t xml:space="preserve">Strategija numato naujų švietimo ir kūrybinių erdvių kūrimą (pvz., Šalčininkuose, Norviliškėse, Širvintose), siekiant ugdyti ateities ekonomikai reikalingas kompetencijas. </w:t>
            </w:r>
          </w:p>
          <w:p w:rsidR="00112B66" w:rsidRPr="009539BA" w:rsidRDefault="00112B66" w:rsidP="00480F00">
            <w:pPr>
              <w:pStyle w:val="prastasiniatinklio"/>
              <w:spacing w:before="0" w:beforeAutospacing="0" w:after="120" w:afterAutospacing="0"/>
              <w:jc w:val="both"/>
              <w:rPr>
                <w:sz w:val="22"/>
                <w:szCs w:val="22"/>
              </w:rPr>
            </w:pPr>
            <w:r w:rsidRPr="009539BA">
              <w:rPr>
                <w:sz w:val="22"/>
                <w:szCs w:val="22"/>
              </w:rPr>
              <w:t xml:space="preserve">Pagal strategijos uždavinį </w:t>
            </w:r>
            <w:r w:rsidRPr="009539BA">
              <w:rPr>
                <w:rStyle w:val="Grietas"/>
                <w:b w:val="0"/>
                <w:bCs w:val="0"/>
                <w:sz w:val="22"/>
                <w:szCs w:val="22"/>
              </w:rPr>
              <w:t>1.3 „Paskatinti rūšiuojamąjį atliekų surinkimą“</w:t>
            </w:r>
            <w:r w:rsidRPr="009539BA">
              <w:rPr>
                <w:sz w:val="22"/>
                <w:szCs w:val="22"/>
              </w:rPr>
              <w:t xml:space="preserve"> numatomi vykdyti veiksmai prisideda prie ESFIP 2-ojo prioriteto </w:t>
            </w:r>
            <w:r w:rsidRPr="009539BA">
              <w:rPr>
                <w:rStyle w:val="Grietas"/>
                <w:b w:val="0"/>
                <w:bCs w:val="0"/>
                <w:sz w:val="22"/>
                <w:szCs w:val="22"/>
              </w:rPr>
              <w:t>„Žalesnė Lietuva“</w:t>
            </w:r>
            <w:r w:rsidRPr="009539BA">
              <w:rPr>
                <w:sz w:val="22"/>
                <w:szCs w:val="22"/>
              </w:rPr>
              <w:t xml:space="preserve"> 2.6 uždavinio </w:t>
            </w:r>
            <w:r w:rsidRPr="009539BA">
              <w:rPr>
                <w:rStyle w:val="Grietas"/>
                <w:b w:val="0"/>
                <w:bCs w:val="0"/>
                <w:sz w:val="22"/>
                <w:szCs w:val="22"/>
              </w:rPr>
              <w:t>„Skatinti perėjimą prie žiedinės ir efektyvaus išteklių naudojimo ekonomikos“</w:t>
            </w:r>
            <w:r w:rsidRPr="009539BA">
              <w:rPr>
                <w:sz w:val="22"/>
                <w:szCs w:val="22"/>
              </w:rPr>
              <w:t xml:space="preserve"> įgyvendinimo. Strategija numato </w:t>
            </w:r>
            <w:r w:rsidRPr="009539BA">
              <w:rPr>
                <w:b/>
                <w:bCs/>
                <w:sz w:val="22"/>
                <w:szCs w:val="22"/>
              </w:rPr>
              <w:t>atliekų rūšiavimą</w:t>
            </w:r>
            <w:r w:rsidRPr="009539BA">
              <w:rPr>
                <w:sz w:val="22"/>
                <w:szCs w:val="22"/>
              </w:rPr>
              <w:t>: planuojama įrengti didelių gabaritų atliekų surinkimo aikšteles Vilniaus regiono savivaldybėse</w:t>
            </w:r>
            <w:r w:rsidR="001235BE" w:rsidRPr="009539BA">
              <w:rPr>
                <w:sz w:val="22"/>
                <w:szCs w:val="22"/>
              </w:rPr>
              <w:t>.</w:t>
            </w:r>
            <w:r w:rsidRPr="009539BA">
              <w:rPr>
                <w:sz w:val="22"/>
                <w:szCs w:val="22"/>
              </w:rPr>
              <w:t xml:space="preserve"> Iki 2029 m. tikimasi surinkti </w:t>
            </w:r>
            <w:r w:rsidRPr="009539BA">
              <w:rPr>
                <w:rStyle w:val="Grietas"/>
                <w:b w:val="0"/>
                <w:bCs w:val="0"/>
                <w:sz w:val="22"/>
                <w:szCs w:val="22"/>
              </w:rPr>
              <w:t>6 231 toną</w:t>
            </w:r>
            <w:r w:rsidRPr="009539BA">
              <w:rPr>
                <w:sz w:val="22"/>
                <w:szCs w:val="22"/>
              </w:rPr>
              <w:t xml:space="preserve"> atskirai išrūšiuotų atliekų per metus.</w:t>
            </w:r>
          </w:p>
          <w:p w:rsidR="00CA3E2F" w:rsidRPr="009539BA" w:rsidRDefault="00112B66" w:rsidP="001235BE">
            <w:pPr>
              <w:pStyle w:val="prastasiniatinklio"/>
              <w:spacing w:before="0" w:beforeAutospacing="0" w:after="0" w:afterAutospacing="0"/>
              <w:jc w:val="both"/>
              <w:rPr>
                <w:sz w:val="22"/>
                <w:szCs w:val="22"/>
              </w:rPr>
            </w:pPr>
            <w:r w:rsidRPr="009539BA">
              <w:rPr>
                <w:sz w:val="22"/>
                <w:szCs w:val="22"/>
              </w:rPr>
              <w:t>Strategijoje taip pat integruojamas tarpsektorinis požiūris, skatinantis bendradarbiavimą tarp savivaldybių, gyventojų įtraukimą ir įvairių finansavimo šaltinių (pvz., „INTERREG“, „Erasmus+“) paiešką. Strategijos veiklos užtikrina naudą ne tik pavieniams regiono gyventojams, bet ir savivaldybių bendruomenėms, prisidedant prie darnios ekonominės, socialinės ir aplinkosaugos plėtros.</w:t>
            </w:r>
          </w:p>
          <w:p w:rsidR="001235BE" w:rsidRPr="009539BA" w:rsidRDefault="001235BE" w:rsidP="001235BE">
            <w:pPr>
              <w:pStyle w:val="prastasiniatinklio"/>
              <w:spacing w:before="0" w:beforeAutospacing="0" w:after="0" w:afterAutospacing="0"/>
              <w:jc w:val="both"/>
              <w:rPr>
                <w:rFonts w:eastAsia="Calibri"/>
                <w:i/>
                <w:color w:val="808080"/>
                <w:sz w:val="22"/>
                <w:szCs w:val="22"/>
              </w:rPr>
            </w:pPr>
          </w:p>
        </w:tc>
      </w:tr>
      <w:bookmarkEnd w:id="1"/>
      <w:tr w:rsidR="00D634E8" w:rsidRPr="009539BA" w:rsidTr="00AD45A9">
        <w:trPr>
          <w:trHeight w:val="96"/>
        </w:trPr>
        <w:tc>
          <w:tcPr>
            <w:tcW w:w="5103" w:type="dxa"/>
            <w:shd w:val="clear" w:color="auto" w:fill="auto"/>
          </w:tcPr>
          <w:p w:rsidR="00D634E8" w:rsidRPr="009539BA" w:rsidRDefault="00F37FDA">
            <w:pPr>
              <w:suppressAutoHyphens/>
              <w:jc w:val="both"/>
              <w:rPr>
                <w:rFonts w:eastAsia="Calibri"/>
                <w:sz w:val="22"/>
                <w:szCs w:val="22"/>
              </w:rPr>
            </w:pPr>
            <w:r w:rsidRPr="009539BA">
              <w:rPr>
                <w:sz w:val="22"/>
                <w:szCs w:val="22"/>
              </w:rPr>
              <w:t>Strategija prisidedama prie efektyvesnio dviejų ar daugiau savivaldybių funkcijų, nustatytų Lietuvos Respublikos vietos savivaldos įstatyme, vykdymo</w:t>
            </w:r>
          </w:p>
        </w:tc>
        <w:tc>
          <w:tcPr>
            <w:tcW w:w="1701" w:type="dxa"/>
            <w:shd w:val="clear" w:color="auto" w:fill="auto"/>
          </w:tcPr>
          <w:p w:rsidR="00D634E8" w:rsidRPr="009539BA" w:rsidRDefault="00C7004A">
            <w:pPr>
              <w:suppressAutoHyphens/>
              <w:jc w:val="both"/>
              <w:rPr>
                <w:rFonts w:eastAsia="Calibri"/>
                <w:b/>
                <w:bCs/>
                <w:i/>
                <w:iCs/>
                <w:sz w:val="22"/>
                <w:szCs w:val="22"/>
              </w:rPr>
            </w:pPr>
            <w:r w:rsidRPr="009539BA">
              <w:rPr>
                <w:rFonts w:eastAsia="Calibri"/>
                <w:b/>
                <w:bCs/>
                <w:i/>
                <w:iCs/>
                <w:sz w:val="22"/>
                <w:szCs w:val="22"/>
              </w:rPr>
              <w:t>TAIP</w:t>
            </w:r>
          </w:p>
        </w:tc>
        <w:tc>
          <w:tcPr>
            <w:tcW w:w="7088" w:type="dxa"/>
            <w:shd w:val="clear" w:color="auto" w:fill="auto"/>
          </w:tcPr>
          <w:p w:rsidR="00055DCB" w:rsidRPr="009539BA" w:rsidRDefault="00055DCB" w:rsidP="000620C6">
            <w:pPr>
              <w:pStyle w:val="prastasiniatinklio"/>
              <w:spacing w:before="0" w:beforeAutospacing="0" w:after="80" w:afterAutospacing="0"/>
              <w:jc w:val="both"/>
              <w:rPr>
                <w:sz w:val="22"/>
                <w:szCs w:val="22"/>
              </w:rPr>
            </w:pPr>
            <w:r w:rsidRPr="009539BA">
              <w:rPr>
                <w:sz w:val="22"/>
                <w:szCs w:val="22"/>
              </w:rPr>
              <w:t>Strategijoje numatytais veiksmais prisidedama prie efektyvesnio šių Lietuvos Respublikos vietos savivaldos įstatyme nustatytų savivaldybių funkcijų vykdymo:</w:t>
            </w:r>
          </w:p>
          <w:p w:rsidR="00055DCB" w:rsidRPr="009539BA" w:rsidRDefault="004A10A6" w:rsidP="000620C6">
            <w:pPr>
              <w:pStyle w:val="prastasiniatinklio"/>
              <w:spacing w:before="0" w:beforeAutospacing="0" w:after="80" w:afterAutospacing="0"/>
              <w:jc w:val="both"/>
              <w:rPr>
                <w:sz w:val="22"/>
                <w:szCs w:val="22"/>
              </w:rPr>
            </w:pPr>
            <w:r w:rsidRPr="009539BA">
              <w:rPr>
                <w:rStyle w:val="Grietas"/>
                <w:b w:val="0"/>
                <w:bCs w:val="0"/>
                <w:sz w:val="22"/>
                <w:szCs w:val="22"/>
              </w:rPr>
              <w:t>- </w:t>
            </w:r>
            <w:r w:rsidR="00FE49FF" w:rsidRPr="009539BA">
              <w:rPr>
                <w:rStyle w:val="Grietas"/>
                <w:b w:val="0"/>
                <w:bCs w:val="0"/>
                <w:sz w:val="22"/>
                <w:szCs w:val="22"/>
              </w:rPr>
              <w:t> s</w:t>
            </w:r>
            <w:r w:rsidR="00055DCB" w:rsidRPr="009539BA">
              <w:rPr>
                <w:rStyle w:val="Grietas"/>
                <w:b w:val="0"/>
                <w:bCs w:val="0"/>
                <w:sz w:val="22"/>
                <w:szCs w:val="22"/>
              </w:rPr>
              <w:t>ąlygų verslo ir turizmo plėtrai sudarymo ir šios veiklos skatinimo</w:t>
            </w:r>
            <w:r w:rsidR="00055DCB" w:rsidRPr="009539BA">
              <w:rPr>
                <w:sz w:val="22"/>
                <w:szCs w:val="22"/>
              </w:rPr>
              <w:t xml:space="preserve"> (6 straipsnio 38 punktas): numatoma koordinuoti bendrus išteklius, taikyti viešinimo priemones bei skatinti erdvių, pritaikytų kūrybinėms industrijoms vystyti, kūrimą.</w:t>
            </w:r>
          </w:p>
          <w:p w:rsidR="00055DCB" w:rsidRPr="009539BA" w:rsidRDefault="004A10A6" w:rsidP="000620C6">
            <w:pPr>
              <w:pStyle w:val="prastasiniatinklio"/>
              <w:spacing w:before="0" w:beforeAutospacing="0" w:after="80" w:afterAutospacing="0"/>
              <w:jc w:val="both"/>
              <w:rPr>
                <w:sz w:val="22"/>
                <w:szCs w:val="22"/>
              </w:rPr>
            </w:pPr>
            <w:r w:rsidRPr="009539BA">
              <w:rPr>
                <w:rStyle w:val="Grietas"/>
                <w:b w:val="0"/>
                <w:bCs w:val="0"/>
                <w:sz w:val="22"/>
                <w:szCs w:val="22"/>
              </w:rPr>
              <w:t>- </w:t>
            </w:r>
            <w:r w:rsidR="00055DCB" w:rsidRPr="009539BA">
              <w:rPr>
                <w:rStyle w:val="Grietas"/>
                <w:b w:val="0"/>
                <w:bCs w:val="0"/>
                <w:sz w:val="22"/>
                <w:szCs w:val="22"/>
              </w:rPr>
              <w:t>vaikų ir suaugusiųjų neformaliojo švietimo organizavimo</w:t>
            </w:r>
            <w:r w:rsidR="00055DCB" w:rsidRPr="009539BA">
              <w:rPr>
                <w:sz w:val="22"/>
                <w:szCs w:val="22"/>
              </w:rPr>
              <w:t xml:space="preserve"> (6 straipsnio 8 punktas): kuriamos erdvės ir infrastruktūra, pritaikytos kokybiškų neformaliojo švietimo paslaugų teikimui.</w:t>
            </w:r>
          </w:p>
          <w:p w:rsidR="00055DCB" w:rsidRPr="009539BA" w:rsidRDefault="004A10A6" w:rsidP="000620C6">
            <w:pPr>
              <w:pStyle w:val="prastasiniatinklio"/>
              <w:spacing w:before="0" w:beforeAutospacing="0" w:after="80" w:afterAutospacing="0"/>
              <w:jc w:val="both"/>
              <w:rPr>
                <w:sz w:val="22"/>
                <w:szCs w:val="22"/>
              </w:rPr>
            </w:pPr>
            <w:r w:rsidRPr="009539BA">
              <w:rPr>
                <w:rStyle w:val="Grietas"/>
                <w:b w:val="0"/>
                <w:bCs w:val="0"/>
                <w:sz w:val="22"/>
                <w:szCs w:val="22"/>
              </w:rPr>
              <w:t>- </w:t>
            </w:r>
            <w:r w:rsidR="00FE49FF" w:rsidRPr="009539BA">
              <w:rPr>
                <w:rStyle w:val="Grietas"/>
                <w:b w:val="0"/>
                <w:bCs w:val="0"/>
                <w:sz w:val="22"/>
                <w:szCs w:val="22"/>
              </w:rPr>
              <w:t> </w:t>
            </w:r>
            <w:r w:rsidR="00055DCB" w:rsidRPr="009539BA">
              <w:rPr>
                <w:rStyle w:val="Grietas"/>
                <w:b w:val="0"/>
                <w:bCs w:val="0"/>
                <w:sz w:val="22"/>
                <w:szCs w:val="22"/>
              </w:rPr>
              <w:t>savivaldybės teritorijoje gyvenančių vaikų iki 16 metų mokymosi pagal privalomojo švietimo programas užtikrinimo</w:t>
            </w:r>
            <w:r w:rsidR="00055DCB" w:rsidRPr="009539BA">
              <w:rPr>
                <w:sz w:val="22"/>
                <w:szCs w:val="22"/>
              </w:rPr>
              <w:t xml:space="preserve"> (7 straipsnio 6 punktas): kuriamos erdvės ir infrastruktūra, skirtos kokybiškų ugdymo paslaugų teikimui.</w:t>
            </w:r>
          </w:p>
          <w:p w:rsidR="00055DCB" w:rsidRPr="009539BA" w:rsidRDefault="000620C6" w:rsidP="000620C6">
            <w:pPr>
              <w:pStyle w:val="prastasiniatinklio"/>
              <w:spacing w:before="0" w:beforeAutospacing="0" w:after="80" w:afterAutospacing="0"/>
              <w:jc w:val="both"/>
              <w:rPr>
                <w:sz w:val="22"/>
                <w:szCs w:val="22"/>
              </w:rPr>
            </w:pPr>
            <w:r w:rsidRPr="009539BA">
              <w:rPr>
                <w:rStyle w:val="Grietas"/>
                <w:b w:val="0"/>
                <w:bCs w:val="0"/>
                <w:sz w:val="22"/>
                <w:szCs w:val="22"/>
              </w:rPr>
              <w:t>- </w:t>
            </w:r>
            <w:r w:rsidR="00FE49FF" w:rsidRPr="009539BA">
              <w:rPr>
                <w:rStyle w:val="Grietas"/>
                <w:b w:val="0"/>
                <w:bCs w:val="0"/>
                <w:sz w:val="22"/>
                <w:szCs w:val="22"/>
              </w:rPr>
              <w:t> </w:t>
            </w:r>
            <w:r w:rsidR="00055DCB" w:rsidRPr="009539BA">
              <w:rPr>
                <w:rStyle w:val="Grietas"/>
                <w:b w:val="0"/>
                <w:bCs w:val="0"/>
                <w:sz w:val="22"/>
                <w:szCs w:val="22"/>
              </w:rPr>
              <w:t>komunalinių atliekų tvarkymo sistemų diegimo, antrinių žaliavų surinkimo ir perdirbimo organizavimo</w:t>
            </w:r>
            <w:r w:rsidR="00055DCB" w:rsidRPr="009539BA">
              <w:rPr>
                <w:sz w:val="22"/>
                <w:szCs w:val="22"/>
              </w:rPr>
              <w:t xml:space="preserve"> (6 straipsnio 31 punktas): planuojama infrastruktūros plėtra, siekiant užtikrinti komunalinių atliekų tvarkymo paslaugų prieinamumą ir kokybę.</w:t>
            </w:r>
          </w:p>
          <w:p w:rsidR="00D634E8" w:rsidRPr="009539BA" w:rsidRDefault="00D634E8">
            <w:pPr>
              <w:suppressAutoHyphens/>
              <w:jc w:val="both"/>
              <w:rPr>
                <w:rFonts w:eastAsia="Calibri"/>
                <w:b/>
                <w:sz w:val="22"/>
                <w:szCs w:val="22"/>
              </w:rPr>
            </w:pPr>
          </w:p>
        </w:tc>
      </w:tr>
      <w:tr w:rsidR="004531EB" w:rsidRPr="009539BA" w:rsidTr="00AD45A9">
        <w:trPr>
          <w:trHeight w:val="96"/>
        </w:trPr>
        <w:tc>
          <w:tcPr>
            <w:tcW w:w="5103" w:type="dxa"/>
            <w:shd w:val="clear" w:color="auto" w:fill="auto"/>
          </w:tcPr>
          <w:p w:rsidR="004531EB" w:rsidRPr="009539BA" w:rsidRDefault="004531EB" w:rsidP="004531EB">
            <w:pPr>
              <w:suppressAutoHyphens/>
              <w:jc w:val="both"/>
              <w:rPr>
                <w:rFonts w:eastAsia="Calibri"/>
                <w:sz w:val="22"/>
                <w:szCs w:val="22"/>
              </w:rPr>
            </w:pPr>
            <w:r w:rsidRPr="009539BA">
              <w:rPr>
                <w:rFonts w:eastAsia="Calibri"/>
                <w:sz w:val="22"/>
                <w:szCs w:val="22"/>
              </w:rPr>
              <w:t>Iš kiekvienam uždaviniui priskirtų veiksmų visumos naudą gaus tikslinės grupės dviejose ar daugiau tarpusavyje besiribojančiose ir socialiniais ir (ar) ekonominiais ryšiais susijusiose arba potencialiai tokius ryšius galinčiose suformuoti savivaldybėse</w:t>
            </w:r>
          </w:p>
        </w:tc>
        <w:tc>
          <w:tcPr>
            <w:tcW w:w="1701" w:type="dxa"/>
            <w:shd w:val="clear" w:color="auto" w:fill="auto"/>
          </w:tcPr>
          <w:p w:rsidR="004531EB" w:rsidRPr="009539BA" w:rsidRDefault="007372B5" w:rsidP="004531EB">
            <w:pPr>
              <w:suppressAutoHyphens/>
              <w:jc w:val="both"/>
              <w:rPr>
                <w:rFonts w:eastAsia="Calibri"/>
                <w:b/>
                <w:sz w:val="22"/>
                <w:szCs w:val="22"/>
              </w:rPr>
            </w:pPr>
            <w:r w:rsidRPr="009539BA">
              <w:rPr>
                <w:rFonts w:eastAsia="Calibri"/>
                <w:b/>
                <w:bCs/>
                <w:i/>
                <w:iCs/>
                <w:sz w:val="22"/>
                <w:szCs w:val="22"/>
              </w:rPr>
              <w:t>TAIP</w:t>
            </w:r>
          </w:p>
        </w:tc>
        <w:tc>
          <w:tcPr>
            <w:tcW w:w="7088" w:type="dxa"/>
            <w:shd w:val="clear" w:color="auto" w:fill="auto"/>
          </w:tcPr>
          <w:p w:rsidR="007E012D" w:rsidRPr="009539BA" w:rsidRDefault="007E012D" w:rsidP="007E012D">
            <w:pPr>
              <w:spacing w:after="80"/>
              <w:jc w:val="both"/>
              <w:rPr>
                <w:sz w:val="22"/>
                <w:szCs w:val="22"/>
                <w:lang w:eastAsia="lt-LT"/>
              </w:rPr>
            </w:pPr>
            <w:r w:rsidRPr="009539BA">
              <w:rPr>
                <w:sz w:val="22"/>
                <w:szCs w:val="22"/>
                <w:lang w:eastAsia="lt-LT"/>
              </w:rPr>
              <w:t xml:space="preserve">Įgyvendinant uždavinį </w:t>
            </w:r>
            <w:r w:rsidRPr="009539BA">
              <w:rPr>
                <w:b/>
                <w:bCs/>
                <w:sz w:val="22"/>
                <w:szCs w:val="22"/>
                <w:lang w:eastAsia="lt-LT"/>
              </w:rPr>
              <w:t>„Paskatinti turizmo plėtrą</w:t>
            </w:r>
            <w:r w:rsidRPr="009539BA">
              <w:rPr>
                <w:sz w:val="22"/>
                <w:szCs w:val="22"/>
                <w:lang w:eastAsia="lt-LT"/>
              </w:rPr>
              <w:t>“, Elektrėnų, Šalčininkų rajono, Širvintų rajono, Švenčionių rajono, Trakų rajono, Ukmergės rajono ir Vilniaus rajono savivaldybėse numatoma vykdyti investicinius veiksmus (1.1.1.–1.1.26.), kurių metu gamtos ir kultūros objektai bus pritaikyti lankymui. Taip pat bus formuojami bendri regiono maršrutai ir įgyvendinamos bendros viešinimo bei rinkodaros priemonės, siekiant tolygaus turizmo potencialo panaudojimo.</w:t>
            </w:r>
          </w:p>
          <w:p w:rsidR="007E012D" w:rsidRPr="009539BA" w:rsidRDefault="007E012D" w:rsidP="007E012D">
            <w:pPr>
              <w:spacing w:after="80"/>
              <w:jc w:val="both"/>
              <w:rPr>
                <w:sz w:val="22"/>
                <w:szCs w:val="22"/>
                <w:lang w:eastAsia="lt-LT"/>
              </w:rPr>
            </w:pPr>
            <w:r w:rsidRPr="009539BA">
              <w:rPr>
                <w:sz w:val="22"/>
                <w:szCs w:val="22"/>
                <w:lang w:eastAsia="lt-LT"/>
              </w:rPr>
              <w:t>Įgyvendinant strategijos neinvesticinį veiksmą 1.1.27. „Jungtinė veikos sutartis dėl turizmo plėtros skatinimo“, 2024-10-03 buvo pasirašyta Jungtinė veiklos sutartis Nr. BS-5 tarp Elektrėnų, Šalčininkų rajono, Širvintų rajono, Švenčionių rajono, Trakų rajono, Ukmergės rajono ir Vilniaus rajono savivaldybių. Ši sutartis apima 2024–2029 m. Vilniaus regiono funkcinės zonos strategijoje numatytą bendrą veiklą, skirtą turizmo vystymui.</w:t>
            </w:r>
          </w:p>
          <w:p w:rsidR="007E012D" w:rsidRPr="009539BA" w:rsidRDefault="007E012D" w:rsidP="007E012D">
            <w:pPr>
              <w:spacing w:after="80"/>
              <w:jc w:val="both"/>
              <w:rPr>
                <w:sz w:val="22"/>
                <w:szCs w:val="22"/>
                <w:lang w:eastAsia="lt-LT"/>
              </w:rPr>
            </w:pPr>
            <w:r w:rsidRPr="009539BA">
              <w:rPr>
                <w:sz w:val="22"/>
                <w:szCs w:val="22"/>
                <w:lang w:eastAsia="lt-LT"/>
              </w:rPr>
              <w:t>Pagal sutartį numatyta vykdyti bendrus savivaldybių veiksmus, tokius kaip regioninių turizmo maršrutų kūrimas, turizmo informacijos centrų bendradarbiavimo palaikymas, bendra duomenų valdymo sistema bei išmaniųjų technologijų diegimas turizmo paslaugų efektyvumui didinti. Trakų rajono savivaldybės administracija bus atsakinga už bendrus informavimo ir viešinimo veiksmus, tyrimų organizavimą, regioninio turizmo maršrutų žemėlapio kūrimą ir priežiūrą bei tinklaveikos palaikymą.</w:t>
            </w:r>
          </w:p>
          <w:p w:rsidR="007B3FD5" w:rsidRPr="009539BA" w:rsidRDefault="007B3FD5" w:rsidP="00B10BD8">
            <w:pPr>
              <w:spacing w:after="80"/>
              <w:jc w:val="both"/>
              <w:rPr>
                <w:sz w:val="22"/>
                <w:szCs w:val="22"/>
                <w:lang w:eastAsia="lt-LT"/>
              </w:rPr>
            </w:pPr>
            <w:r w:rsidRPr="009539BA">
              <w:rPr>
                <w:sz w:val="22"/>
                <w:szCs w:val="22"/>
                <w:lang w:eastAsia="lt-LT"/>
              </w:rPr>
              <w:t xml:space="preserve">Įgyvendinant uždavinį </w:t>
            </w:r>
            <w:r w:rsidRPr="009539BA">
              <w:rPr>
                <w:b/>
                <w:bCs/>
                <w:sz w:val="22"/>
                <w:szCs w:val="22"/>
                <w:lang w:eastAsia="lt-LT"/>
              </w:rPr>
              <w:t>„Užtikrinti kompetencijų, reikalingų ateities ekonomikai, ugdymą“,</w:t>
            </w:r>
            <w:r w:rsidRPr="009539BA">
              <w:rPr>
                <w:sz w:val="22"/>
                <w:szCs w:val="22"/>
                <w:lang w:eastAsia="lt-LT"/>
              </w:rPr>
              <w:t xml:space="preserve"> numatoma vykdyti investicinius veiksmus (1.2.1–1.2.8), kurie prisidės prie infrastruktūros kūrimo ir viešųjų paslaugų gerinimo. Šiomis paslaugomis naudosis 6 besiribojančių savivaldybių gyventojai, taip pat mažos ir vidutinės įmonės (MVĮ), viešojo sektoriaus institucijos, nevyriausybinės organizacijos. Planuojama sukurti ir išplėtoti ugdymo paslaugas, siekiant užtikrinti galimybę nuolat mokytis ir kurti vertę įvairiais amžiaus tarpsniais. Taip pat bus pagerintos viešosios paslaugos, skirtos smulkiajam ir vidutiniam verslui.</w:t>
            </w:r>
          </w:p>
          <w:p w:rsidR="007B3FD5" w:rsidRPr="009539BA" w:rsidRDefault="007B3FD5" w:rsidP="00B10BD8">
            <w:pPr>
              <w:jc w:val="both"/>
              <w:rPr>
                <w:sz w:val="22"/>
                <w:szCs w:val="22"/>
                <w:lang w:eastAsia="lt-LT"/>
              </w:rPr>
            </w:pPr>
            <w:r w:rsidRPr="009539BA">
              <w:rPr>
                <w:sz w:val="22"/>
                <w:szCs w:val="22"/>
                <w:lang w:eastAsia="lt-LT"/>
              </w:rPr>
              <w:t>Numatomi įgyvendinti neinvesticiniai veiksmai (1.2.9–1.2.10, jungtinės veiklos sutartys) užtikrins bendrus savivaldybių veiksmus, skirtus švietimo paslaugų kokybės ir prieinamumo didinimui bei kūrybinių industrijų plėtrai. Šie veiksmai apima:</w:t>
            </w:r>
          </w:p>
          <w:p w:rsidR="007B3FD5" w:rsidRPr="009539BA" w:rsidRDefault="00A363B0" w:rsidP="00B10BD8">
            <w:pPr>
              <w:jc w:val="both"/>
              <w:rPr>
                <w:sz w:val="22"/>
                <w:szCs w:val="22"/>
                <w:lang w:eastAsia="lt-LT"/>
              </w:rPr>
            </w:pPr>
            <w:r w:rsidRPr="009539BA">
              <w:rPr>
                <w:sz w:val="22"/>
                <w:szCs w:val="22"/>
                <w:lang w:eastAsia="lt-LT"/>
              </w:rPr>
              <w:t>- </w:t>
            </w:r>
            <w:r w:rsidR="0043303A" w:rsidRPr="009539BA">
              <w:rPr>
                <w:sz w:val="22"/>
                <w:szCs w:val="22"/>
                <w:lang w:eastAsia="lt-LT"/>
              </w:rPr>
              <w:t>b</w:t>
            </w:r>
            <w:r w:rsidR="007B3FD5" w:rsidRPr="009539BA">
              <w:rPr>
                <w:sz w:val="22"/>
                <w:szCs w:val="22"/>
                <w:lang w:eastAsia="lt-LT"/>
              </w:rPr>
              <w:t>endradarbiavimą tarp savivaldybių, trečiojo amžiaus universitetų ir nevyriausybinių organizacijų.</w:t>
            </w:r>
          </w:p>
          <w:p w:rsidR="007B3FD5" w:rsidRPr="009539BA" w:rsidRDefault="0043303A" w:rsidP="00B10BD8">
            <w:pPr>
              <w:jc w:val="both"/>
              <w:rPr>
                <w:sz w:val="22"/>
                <w:szCs w:val="22"/>
                <w:lang w:eastAsia="lt-LT"/>
              </w:rPr>
            </w:pPr>
            <w:r w:rsidRPr="009539BA">
              <w:rPr>
                <w:sz w:val="22"/>
                <w:szCs w:val="22"/>
                <w:lang w:eastAsia="lt-LT"/>
              </w:rPr>
              <w:t>-</w:t>
            </w:r>
            <w:r w:rsidRPr="009539BA">
              <w:rPr>
                <w:sz w:val="22"/>
                <w:szCs w:val="22"/>
                <w:lang w:val="en-US" w:eastAsia="lt-LT"/>
              </w:rPr>
              <w:t> </w:t>
            </w:r>
            <w:r w:rsidRPr="009539BA">
              <w:rPr>
                <w:sz w:val="22"/>
                <w:szCs w:val="22"/>
                <w:lang w:eastAsia="lt-LT"/>
              </w:rPr>
              <w:t>b</w:t>
            </w:r>
            <w:r w:rsidR="007B3FD5" w:rsidRPr="009539BA">
              <w:rPr>
                <w:sz w:val="22"/>
                <w:szCs w:val="22"/>
                <w:lang w:eastAsia="lt-LT"/>
              </w:rPr>
              <w:t>endrų duomenų valdymo platformų kūrimą, palaikymą ir naudojimą.</w:t>
            </w:r>
          </w:p>
          <w:p w:rsidR="007B3FD5" w:rsidRPr="009539BA" w:rsidRDefault="005A29D4" w:rsidP="00B10BD8">
            <w:pPr>
              <w:jc w:val="both"/>
              <w:rPr>
                <w:sz w:val="22"/>
                <w:szCs w:val="22"/>
                <w:lang w:eastAsia="lt-LT"/>
              </w:rPr>
            </w:pPr>
            <w:r w:rsidRPr="009539BA">
              <w:rPr>
                <w:sz w:val="22"/>
                <w:szCs w:val="22"/>
                <w:lang w:eastAsia="lt-LT"/>
              </w:rPr>
              <w:t>- m</w:t>
            </w:r>
            <w:r w:rsidR="007B3FD5" w:rsidRPr="009539BA">
              <w:rPr>
                <w:sz w:val="22"/>
                <w:szCs w:val="22"/>
                <w:lang w:eastAsia="lt-LT"/>
              </w:rPr>
              <w:t>odulių ir programų kūrimą, palankių eksperimentavimui, inovacijoms ir individualizuotų paslaugų teikimui.</w:t>
            </w:r>
          </w:p>
          <w:p w:rsidR="007B3FD5" w:rsidRPr="009539BA" w:rsidRDefault="005A29D4" w:rsidP="00B10BD8">
            <w:pPr>
              <w:jc w:val="both"/>
              <w:rPr>
                <w:sz w:val="22"/>
                <w:szCs w:val="22"/>
                <w:lang w:eastAsia="lt-LT"/>
              </w:rPr>
            </w:pPr>
            <w:r w:rsidRPr="009539BA">
              <w:rPr>
                <w:sz w:val="22"/>
                <w:szCs w:val="22"/>
                <w:lang w:eastAsia="lt-LT"/>
              </w:rPr>
              <w:t>- b</w:t>
            </w:r>
            <w:r w:rsidR="007B3FD5" w:rsidRPr="009539BA">
              <w:rPr>
                <w:sz w:val="22"/>
                <w:szCs w:val="22"/>
                <w:lang w:eastAsia="lt-LT"/>
              </w:rPr>
              <w:t>endrą paslaugų teikimo organizavimą ir jų viešinimą.</w:t>
            </w:r>
          </w:p>
          <w:p w:rsidR="007B3FD5" w:rsidRPr="009539BA" w:rsidRDefault="007B3FD5" w:rsidP="00B10BD8">
            <w:pPr>
              <w:spacing w:after="80"/>
              <w:jc w:val="both"/>
              <w:rPr>
                <w:sz w:val="22"/>
                <w:szCs w:val="22"/>
                <w:lang w:eastAsia="lt-LT"/>
              </w:rPr>
            </w:pPr>
            <w:r w:rsidRPr="009539BA">
              <w:rPr>
                <w:sz w:val="22"/>
                <w:szCs w:val="22"/>
                <w:lang w:eastAsia="lt-LT"/>
              </w:rPr>
              <w:t>Vilniaus rajono savivaldybės administracija ir Švenčionių rajono savivaldybės administracija bus atsakingos už bendrų informavimo ir viešinimo veiksmų organizavimą, tyrimų vykdymą bei bendrų duomenų sistemų ir programų kūrimą bei priežiūrą.</w:t>
            </w:r>
          </w:p>
          <w:p w:rsidR="007B3FD5" w:rsidRPr="009539BA" w:rsidRDefault="007B3FD5" w:rsidP="00B10BD8">
            <w:pPr>
              <w:spacing w:after="80"/>
              <w:jc w:val="both"/>
              <w:rPr>
                <w:sz w:val="22"/>
                <w:szCs w:val="22"/>
                <w:lang w:eastAsia="lt-LT"/>
              </w:rPr>
            </w:pPr>
            <w:r w:rsidRPr="009539BA">
              <w:rPr>
                <w:sz w:val="22"/>
                <w:szCs w:val="22"/>
                <w:lang w:eastAsia="lt-LT"/>
              </w:rPr>
              <w:t xml:space="preserve">Įgyvendinant uždavinį </w:t>
            </w:r>
            <w:r w:rsidRPr="009539BA">
              <w:rPr>
                <w:b/>
                <w:bCs/>
                <w:sz w:val="22"/>
                <w:szCs w:val="22"/>
                <w:lang w:eastAsia="lt-LT"/>
              </w:rPr>
              <w:t>„Paskatinti rūšiuojamąjį atliekų surinkimą“,</w:t>
            </w:r>
            <w:r w:rsidRPr="009539BA">
              <w:rPr>
                <w:sz w:val="22"/>
                <w:szCs w:val="22"/>
                <w:lang w:eastAsia="lt-LT"/>
              </w:rPr>
              <w:t xml:space="preserve"> numatoma vykdyti investicinius veiksmus (1.2.1–1.2.8), kurie prisidės prie infrastruktūros kūrimo ir viešųjų paslaugų gerinimo. Šiomis paslaugomis naudosis 7 besiribojančių savivaldybių</w:t>
            </w:r>
            <w:r w:rsidR="00EE76F1" w:rsidRPr="009539BA">
              <w:rPr>
                <w:sz w:val="22"/>
                <w:szCs w:val="22"/>
                <w:lang w:eastAsia="lt-LT"/>
              </w:rPr>
              <w:t xml:space="preserve"> </w:t>
            </w:r>
            <w:r w:rsidR="00120E15" w:rsidRPr="009539BA">
              <w:rPr>
                <w:sz w:val="22"/>
                <w:szCs w:val="22"/>
                <w:lang w:eastAsia="lt-LT"/>
              </w:rPr>
              <w:t>–</w:t>
            </w:r>
            <w:r w:rsidR="00CD2782" w:rsidRPr="009539BA">
              <w:rPr>
                <w:sz w:val="22"/>
                <w:szCs w:val="22"/>
                <w:lang w:eastAsia="lt-LT"/>
              </w:rPr>
              <w:t xml:space="preserve"> </w:t>
            </w:r>
            <w:r w:rsidR="00EE76F1" w:rsidRPr="009539BA">
              <w:rPr>
                <w:sz w:val="22"/>
                <w:szCs w:val="22"/>
                <w:lang w:eastAsia="lt-LT"/>
              </w:rPr>
              <w:t>Elektrėnų, Šalčininkų rajono, Širvintų rajono, Švenčionių rajono, Trakų rajono, Ukmergės rajono</w:t>
            </w:r>
            <w:r w:rsidR="00B649F1" w:rsidRPr="009539BA">
              <w:rPr>
                <w:sz w:val="22"/>
                <w:szCs w:val="22"/>
                <w:lang w:eastAsia="lt-LT"/>
              </w:rPr>
              <w:t xml:space="preserve">, Vilniaus ir </w:t>
            </w:r>
            <w:r w:rsidR="00EE76F1" w:rsidRPr="009539BA">
              <w:rPr>
                <w:sz w:val="22"/>
                <w:szCs w:val="22"/>
                <w:lang w:eastAsia="lt-LT"/>
              </w:rPr>
              <w:t xml:space="preserve"> Vilniaus rajono</w:t>
            </w:r>
            <w:r w:rsidR="00120E15" w:rsidRPr="009539BA">
              <w:rPr>
                <w:sz w:val="22"/>
                <w:szCs w:val="22"/>
                <w:lang w:eastAsia="lt-LT"/>
              </w:rPr>
              <w:t xml:space="preserve"> –</w:t>
            </w:r>
            <w:r w:rsidRPr="009539BA">
              <w:rPr>
                <w:sz w:val="22"/>
                <w:szCs w:val="22"/>
                <w:lang w:eastAsia="lt-LT"/>
              </w:rPr>
              <w:t xml:space="preserve"> gyventojai. Atliekų surinkimo infrastruktūros plėtra ir viešinimo kampanijos skatins gyventojus rūšiuoti atliekas.</w:t>
            </w:r>
          </w:p>
          <w:p w:rsidR="004531EB" w:rsidRPr="009539BA" w:rsidRDefault="007B3FD5" w:rsidP="00B10BD8">
            <w:pPr>
              <w:spacing w:after="80"/>
              <w:jc w:val="both"/>
              <w:rPr>
                <w:rFonts w:eastAsia="Calibri"/>
                <w:b/>
                <w:sz w:val="22"/>
                <w:szCs w:val="22"/>
              </w:rPr>
            </w:pPr>
            <w:r w:rsidRPr="009539BA">
              <w:rPr>
                <w:sz w:val="22"/>
                <w:szCs w:val="22"/>
                <w:lang w:eastAsia="lt-LT"/>
              </w:rPr>
              <w:t>Neinvesticinis veiksmas jau įgyvendintas – įkurta ir sėkmingai veikia regioninė įstaiga UAB „VAATC“.</w:t>
            </w:r>
          </w:p>
        </w:tc>
      </w:tr>
    </w:tbl>
    <w:p w:rsidR="00D634E8" w:rsidRPr="009539BA" w:rsidRDefault="00D634E8">
      <w:pPr>
        <w:rPr>
          <w:sz w:val="22"/>
          <w:szCs w:val="22"/>
        </w:rPr>
      </w:pPr>
    </w:p>
    <w:p w:rsidR="00D634E8" w:rsidRDefault="00F37FDA">
      <w:pPr>
        <w:jc w:val="both"/>
        <w:rPr>
          <w:b/>
          <w:szCs w:val="24"/>
          <w:u w:val="single"/>
        </w:rPr>
      </w:pPr>
      <w:r>
        <w:rPr>
          <w:b/>
          <w:szCs w:val="24"/>
          <w:u w:val="single"/>
        </w:rPr>
        <w:t>3. Partnerių dalyvavimas įgyvendinant Strategiją</w:t>
      </w:r>
    </w:p>
    <w:p w:rsidR="00D634E8" w:rsidRDefault="00D634E8">
      <w:pPr>
        <w:jc w:val="both"/>
        <w:rPr>
          <w:b/>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3"/>
        <w:gridCol w:w="5224"/>
      </w:tblGrid>
      <w:tr w:rsidR="00D634E8" w:rsidRPr="00B10BD8">
        <w:tc>
          <w:tcPr>
            <w:tcW w:w="8663" w:type="dxa"/>
            <w:shd w:val="pct5" w:color="auto" w:fill="auto"/>
          </w:tcPr>
          <w:p w:rsidR="00D634E8" w:rsidRPr="00EA5DDC" w:rsidRDefault="00F37FDA">
            <w:pPr>
              <w:jc w:val="center"/>
              <w:rPr>
                <w:b/>
                <w:sz w:val="22"/>
                <w:szCs w:val="22"/>
              </w:rPr>
            </w:pPr>
            <w:r w:rsidRPr="00EA5DDC">
              <w:rPr>
                <w:b/>
                <w:sz w:val="22"/>
                <w:szCs w:val="22"/>
              </w:rPr>
              <w:t>Partnerių įtraukimo priemonės ir jų vykdymo</w:t>
            </w:r>
          </w:p>
          <w:p w:rsidR="00D634E8" w:rsidRPr="00B10BD8" w:rsidRDefault="00F37FDA">
            <w:pPr>
              <w:jc w:val="center"/>
              <w:rPr>
                <w:b/>
                <w:sz w:val="22"/>
                <w:szCs w:val="22"/>
              </w:rPr>
            </w:pPr>
            <w:r w:rsidRPr="00EA5DDC">
              <w:rPr>
                <w:b/>
                <w:sz w:val="22"/>
                <w:szCs w:val="22"/>
              </w:rPr>
              <w:t>datos</w:t>
            </w:r>
          </w:p>
        </w:tc>
        <w:tc>
          <w:tcPr>
            <w:tcW w:w="5224" w:type="dxa"/>
            <w:shd w:val="pct5" w:color="auto" w:fill="auto"/>
          </w:tcPr>
          <w:p w:rsidR="00D634E8" w:rsidRPr="00EA5DDC" w:rsidRDefault="00F37FDA">
            <w:pPr>
              <w:jc w:val="center"/>
              <w:rPr>
                <w:b/>
                <w:sz w:val="22"/>
                <w:szCs w:val="22"/>
              </w:rPr>
            </w:pPr>
            <w:r w:rsidRPr="00EA5DDC">
              <w:rPr>
                <w:b/>
                <w:sz w:val="22"/>
                <w:szCs w:val="22"/>
              </w:rPr>
              <w:t>Dalyvavę partneriai</w:t>
            </w:r>
          </w:p>
        </w:tc>
      </w:tr>
      <w:tr w:rsidR="008252DF" w:rsidRPr="00B10BD8" w:rsidTr="00515A25">
        <w:tc>
          <w:tcPr>
            <w:tcW w:w="8663" w:type="dxa"/>
            <w:vAlign w:val="center"/>
          </w:tcPr>
          <w:p w:rsidR="008252DF" w:rsidRPr="009539BA" w:rsidRDefault="008252DF" w:rsidP="008252DF">
            <w:pPr>
              <w:jc w:val="both"/>
              <w:rPr>
                <w:b/>
                <w:bCs/>
                <w:color w:val="808080"/>
                <w:sz w:val="22"/>
                <w:szCs w:val="22"/>
                <w:u w:val="single"/>
              </w:rPr>
            </w:pPr>
            <w:r w:rsidRPr="009539BA">
              <w:rPr>
                <w:sz w:val="22"/>
                <w:szCs w:val="22"/>
              </w:rPr>
              <w:t>1. Rengiant strategiją buvo atsiklausiama gyventojų ir partnerių nuomonės Vilniaus regiono plėtros tarybos interneto svetainėje ir funkcinės zonos savivaldybių interneto svetainėse, taip sudarant lygias galimybes visiems teritorijos, kurioje numatoma įgyvendinti strategija, gyventojams ir partneriams susipažinti su strategijos projekto turiniu bei pateikti pastabas ir pasiūlymus. (2024 m. kovo mėn.)</w:t>
            </w:r>
          </w:p>
        </w:tc>
        <w:tc>
          <w:tcPr>
            <w:tcW w:w="5224" w:type="dxa"/>
            <w:vAlign w:val="center"/>
          </w:tcPr>
          <w:p w:rsidR="008252DF" w:rsidRPr="009539BA" w:rsidRDefault="008252DF" w:rsidP="008252DF">
            <w:pPr>
              <w:suppressAutoHyphens/>
              <w:jc w:val="both"/>
              <w:rPr>
                <w:b/>
                <w:color w:val="808080"/>
                <w:sz w:val="22"/>
                <w:szCs w:val="22"/>
                <w:u w:val="single"/>
              </w:rPr>
            </w:pPr>
            <w:r w:rsidRPr="009539BA">
              <w:rPr>
                <w:sz w:val="22"/>
                <w:szCs w:val="22"/>
                <w:lang w:eastAsia="lt-LT"/>
              </w:rPr>
              <w:t>Vilniaus regiono plėtros tarybos kolegijos partnerių grupė, gyventojai</w:t>
            </w:r>
          </w:p>
        </w:tc>
      </w:tr>
      <w:tr w:rsidR="008252DF" w:rsidRPr="00B10BD8" w:rsidTr="00515A25">
        <w:tc>
          <w:tcPr>
            <w:tcW w:w="8663" w:type="dxa"/>
            <w:vAlign w:val="center"/>
          </w:tcPr>
          <w:p w:rsidR="001E2F04" w:rsidRPr="009539BA" w:rsidRDefault="008252DF" w:rsidP="00677F2A">
            <w:pPr>
              <w:widowControl w:val="0"/>
              <w:suppressAutoHyphens/>
              <w:rPr>
                <w:b/>
                <w:bCs/>
                <w:sz w:val="22"/>
                <w:szCs w:val="22"/>
                <w:u w:val="single"/>
              </w:rPr>
            </w:pPr>
            <w:r w:rsidRPr="009539BA">
              <w:rPr>
                <w:b/>
                <w:bCs/>
                <w:sz w:val="22"/>
                <w:szCs w:val="22"/>
                <w:lang w:eastAsia="lt-LT"/>
              </w:rPr>
              <w:t xml:space="preserve">2. </w:t>
            </w:r>
            <w:r w:rsidR="00E33F96" w:rsidRPr="009539BA">
              <w:rPr>
                <w:sz w:val="22"/>
                <w:szCs w:val="22"/>
              </w:rPr>
              <w:t>K</w:t>
            </w:r>
            <w:r w:rsidR="00E33F96" w:rsidRPr="009539BA">
              <w:rPr>
                <w:rFonts w:eastAsia="Calibri"/>
                <w:iCs/>
                <w:sz w:val="22"/>
                <w:szCs w:val="22"/>
              </w:rPr>
              <w:t>reiptasi į partnerius tiesiogiai dėl strategijos projekto svarstymo (2023 m. kovo 16 d. posėdis, 2024 m. sausio 17 d. posėdis)</w:t>
            </w:r>
          </w:p>
        </w:tc>
        <w:tc>
          <w:tcPr>
            <w:tcW w:w="5224" w:type="dxa"/>
            <w:vAlign w:val="center"/>
          </w:tcPr>
          <w:p w:rsidR="008252DF" w:rsidRPr="009539BA" w:rsidRDefault="008252DF" w:rsidP="008252DF">
            <w:pPr>
              <w:jc w:val="both"/>
              <w:rPr>
                <w:b/>
                <w:sz w:val="22"/>
                <w:szCs w:val="22"/>
                <w:u w:val="single"/>
              </w:rPr>
            </w:pPr>
            <w:r w:rsidRPr="009539BA">
              <w:rPr>
                <w:sz w:val="22"/>
                <w:szCs w:val="22"/>
                <w:lang w:eastAsia="lt-LT"/>
              </w:rPr>
              <w:t>Vilniaus regiono plėtros tarybos kolegijos partnerių grupė</w:t>
            </w:r>
          </w:p>
        </w:tc>
      </w:tr>
    </w:tbl>
    <w:p w:rsidR="006B61D8" w:rsidRDefault="006B61D8">
      <w:pPr>
        <w:jc w:val="both"/>
        <w:rPr>
          <w:b/>
          <w:szCs w:val="24"/>
          <w:u w:val="single"/>
        </w:rPr>
      </w:pPr>
    </w:p>
    <w:p w:rsidR="00D634E8" w:rsidRDefault="00F37FDA">
      <w:pPr>
        <w:jc w:val="both"/>
        <w:rPr>
          <w:b/>
          <w:szCs w:val="24"/>
          <w:u w:val="single"/>
        </w:rPr>
      </w:pPr>
      <w:r>
        <w:rPr>
          <w:b/>
          <w:szCs w:val="24"/>
          <w:u w:val="single"/>
        </w:rPr>
        <w:t>4. Informacija apie Strategijos veiksmų įgyvendinimą</w:t>
      </w:r>
    </w:p>
    <w:p w:rsidR="00D634E8" w:rsidRDefault="00D634E8">
      <w:pPr>
        <w:jc w:val="both"/>
        <w:rPr>
          <w:szCs w:val="24"/>
          <w:u w:val="single"/>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1"/>
        <w:gridCol w:w="1701"/>
        <w:gridCol w:w="1560"/>
        <w:gridCol w:w="1842"/>
        <w:gridCol w:w="4253"/>
      </w:tblGrid>
      <w:tr w:rsidR="00D634E8" w:rsidRPr="009539BA" w:rsidTr="009539BA">
        <w:trPr>
          <w:trHeight w:val="950"/>
        </w:trPr>
        <w:tc>
          <w:tcPr>
            <w:tcW w:w="4531" w:type="dxa"/>
            <w:shd w:val="pct5" w:color="auto" w:fill="auto"/>
            <w:vAlign w:val="center"/>
          </w:tcPr>
          <w:p w:rsidR="00D634E8" w:rsidRPr="00F45E75" w:rsidRDefault="00F37FDA">
            <w:pPr>
              <w:jc w:val="center"/>
              <w:rPr>
                <w:b/>
                <w:sz w:val="22"/>
                <w:szCs w:val="22"/>
              </w:rPr>
            </w:pPr>
            <w:r w:rsidRPr="00F45E75">
              <w:rPr>
                <w:b/>
                <w:sz w:val="22"/>
                <w:szCs w:val="22"/>
              </w:rPr>
              <w:t>Veiksmas</w:t>
            </w:r>
          </w:p>
        </w:tc>
        <w:tc>
          <w:tcPr>
            <w:tcW w:w="1701" w:type="dxa"/>
            <w:shd w:val="pct5" w:color="auto" w:fill="auto"/>
            <w:vAlign w:val="center"/>
          </w:tcPr>
          <w:p w:rsidR="00D634E8" w:rsidRPr="00F45E75" w:rsidRDefault="00F37FDA">
            <w:pPr>
              <w:jc w:val="center"/>
              <w:rPr>
                <w:b/>
                <w:sz w:val="22"/>
                <w:szCs w:val="22"/>
              </w:rPr>
            </w:pPr>
            <w:r w:rsidRPr="00F45E75">
              <w:rPr>
                <w:b/>
                <w:sz w:val="22"/>
                <w:szCs w:val="22"/>
              </w:rPr>
              <w:t>Veiksmo įgyvendinimo būklė</w:t>
            </w:r>
          </w:p>
        </w:tc>
        <w:tc>
          <w:tcPr>
            <w:tcW w:w="1560" w:type="dxa"/>
            <w:shd w:val="pct5" w:color="auto" w:fill="auto"/>
            <w:vAlign w:val="center"/>
          </w:tcPr>
          <w:p w:rsidR="00D634E8" w:rsidRPr="00F45E75" w:rsidRDefault="00F37FDA">
            <w:pPr>
              <w:jc w:val="center"/>
              <w:rPr>
                <w:b/>
                <w:sz w:val="22"/>
                <w:szCs w:val="22"/>
              </w:rPr>
            </w:pPr>
            <w:r w:rsidRPr="00F45E75">
              <w:rPr>
                <w:b/>
                <w:sz w:val="22"/>
                <w:szCs w:val="22"/>
              </w:rPr>
              <w:t>Projekto (-ų) kodas (-ai)</w:t>
            </w:r>
          </w:p>
        </w:tc>
        <w:tc>
          <w:tcPr>
            <w:tcW w:w="1842" w:type="dxa"/>
            <w:shd w:val="pct5" w:color="auto" w:fill="auto"/>
            <w:vAlign w:val="center"/>
          </w:tcPr>
          <w:p w:rsidR="00D634E8" w:rsidRPr="00F45E75" w:rsidRDefault="00F37FDA">
            <w:pPr>
              <w:jc w:val="center"/>
              <w:rPr>
                <w:b/>
                <w:sz w:val="22"/>
                <w:szCs w:val="22"/>
              </w:rPr>
            </w:pPr>
            <w:r w:rsidRPr="00F45E75">
              <w:rPr>
                <w:b/>
                <w:sz w:val="22"/>
                <w:szCs w:val="22"/>
              </w:rPr>
              <w:t>Rizikų įvertinimas</w:t>
            </w:r>
          </w:p>
        </w:tc>
        <w:tc>
          <w:tcPr>
            <w:tcW w:w="4253" w:type="dxa"/>
            <w:shd w:val="pct5" w:color="auto" w:fill="auto"/>
            <w:vAlign w:val="center"/>
          </w:tcPr>
          <w:p w:rsidR="00D634E8" w:rsidRPr="00F45E75" w:rsidRDefault="00F37FDA">
            <w:pPr>
              <w:jc w:val="center"/>
              <w:rPr>
                <w:b/>
                <w:sz w:val="22"/>
                <w:szCs w:val="22"/>
              </w:rPr>
            </w:pPr>
            <w:r w:rsidRPr="00F45E75">
              <w:rPr>
                <w:b/>
                <w:sz w:val="22"/>
                <w:szCs w:val="22"/>
              </w:rPr>
              <w:t>Informacija apie rizikų valdymą</w:t>
            </w:r>
          </w:p>
        </w:tc>
      </w:tr>
      <w:tr w:rsidR="00D634E8" w:rsidRPr="009539BA" w:rsidTr="009539BA">
        <w:tc>
          <w:tcPr>
            <w:tcW w:w="4531" w:type="dxa"/>
            <w:shd w:val="pct5" w:color="auto" w:fill="auto"/>
            <w:vAlign w:val="center"/>
          </w:tcPr>
          <w:p w:rsidR="00D634E8" w:rsidRPr="00F45E75" w:rsidRDefault="00F37FDA">
            <w:pPr>
              <w:jc w:val="center"/>
              <w:rPr>
                <w:b/>
                <w:sz w:val="22"/>
                <w:szCs w:val="22"/>
              </w:rPr>
            </w:pPr>
            <w:r w:rsidRPr="00F45E75">
              <w:rPr>
                <w:b/>
                <w:sz w:val="22"/>
                <w:szCs w:val="22"/>
              </w:rPr>
              <w:t>1</w:t>
            </w:r>
          </w:p>
        </w:tc>
        <w:tc>
          <w:tcPr>
            <w:tcW w:w="1701" w:type="dxa"/>
            <w:shd w:val="pct5" w:color="auto" w:fill="auto"/>
            <w:vAlign w:val="center"/>
          </w:tcPr>
          <w:p w:rsidR="00D634E8" w:rsidRPr="00F45E75" w:rsidRDefault="00F37FDA">
            <w:pPr>
              <w:jc w:val="center"/>
              <w:rPr>
                <w:b/>
                <w:sz w:val="22"/>
                <w:szCs w:val="22"/>
              </w:rPr>
            </w:pPr>
            <w:r w:rsidRPr="00F45E75">
              <w:rPr>
                <w:b/>
                <w:sz w:val="22"/>
                <w:szCs w:val="22"/>
              </w:rPr>
              <w:t>2</w:t>
            </w:r>
          </w:p>
        </w:tc>
        <w:tc>
          <w:tcPr>
            <w:tcW w:w="1560" w:type="dxa"/>
            <w:shd w:val="pct5" w:color="auto" w:fill="auto"/>
            <w:vAlign w:val="center"/>
          </w:tcPr>
          <w:p w:rsidR="00D634E8" w:rsidRPr="00F45E75" w:rsidRDefault="00F37FDA">
            <w:pPr>
              <w:jc w:val="center"/>
              <w:rPr>
                <w:b/>
                <w:sz w:val="22"/>
                <w:szCs w:val="22"/>
              </w:rPr>
            </w:pPr>
            <w:r w:rsidRPr="00F45E75">
              <w:rPr>
                <w:b/>
                <w:sz w:val="22"/>
                <w:szCs w:val="22"/>
              </w:rPr>
              <w:t>3</w:t>
            </w:r>
          </w:p>
        </w:tc>
        <w:tc>
          <w:tcPr>
            <w:tcW w:w="1842" w:type="dxa"/>
            <w:shd w:val="pct5" w:color="auto" w:fill="auto"/>
            <w:vAlign w:val="center"/>
          </w:tcPr>
          <w:p w:rsidR="00D634E8" w:rsidRPr="00F45E75" w:rsidRDefault="00F37FDA">
            <w:pPr>
              <w:jc w:val="center"/>
              <w:rPr>
                <w:b/>
                <w:sz w:val="22"/>
                <w:szCs w:val="22"/>
              </w:rPr>
            </w:pPr>
            <w:r w:rsidRPr="00F45E75">
              <w:rPr>
                <w:b/>
                <w:sz w:val="22"/>
                <w:szCs w:val="22"/>
              </w:rPr>
              <w:t>4</w:t>
            </w:r>
          </w:p>
        </w:tc>
        <w:tc>
          <w:tcPr>
            <w:tcW w:w="4253" w:type="dxa"/>
            <w:shd w:val="pct5" w:color="auto" w:fill="auto"/>
            <w:vAlign w:val="center"/>
          </w:tcPr>
          <w:p w:rsidR="00D634E8" w:rsidRPr="00F45E75" w:rsidRDefault="00F37FDA">
            <w:pPr>
              <w:jc w:val="center"/>
              <w:rPr>
                <w:b/>
                <w:sz w:val="22"/>
                <w:szCs w:val="22"/>
              </w:rPr>
            </w:pPr>
            <w:r w:rsidRPr="00F45E75">
              <w:rPr>
                <w:b/>
                <w:sz w:val="22"/>
                <w:szCs w:val="22"/>
              </w:rPr>
              <w:t>5</w:t>
            </w:r>
          </w:p>
        </w:tc>
      </w:tr>
      <w:tr w:rsidR="00D634E8" w:rsidRPr="009539BA">
        <w:tc>
          <w:tcPr>
            <w:tcW w:w="13887" w:type="dxa"/>
            <w:gridSpan w:val="5"/>
            <w:shd w:val="pct5" w:color="auto" w:fill="auto"/>
            <w:vAlign w:val="center"/>
          </w:tcPr>
          <w:p w:rsidR="00D634E8" w:rsidRPr="00F45E75" w:rsidRDefault="00F37FDA">
            <w:pPr>
              <w:rPr>
                <w:b/>
                <w:sz w:val="22"/>
                <w:szCs w:val="22"/>
              </w:rPr>
            </w:pPr>
            <w:r w:rsidRPr="00F45E75">
              <w:rPr>
                <w:b/>
                <w:sz w:val="22"/>
                <w:szCs w:val="22"/>
              </w:rPr>
              <w:t>1 tikslas</w:t>
            </w:r>
            <w:r w:rsidR="00AD45A9" w:rsidRPr="00F45E75">
              <w:rPr>
                <w:b/>
                <w:sz w:val="22"/>
                <w:szCs w:val="22"/>
              </w:rPr>
              <w:t xml:space="preserve">: </w:t>
            </w:r>
            <w:r w:rsidR="00225CA0" w:rsidRPr="00F45E75">
              <w:rPr>
                <w:b/>
                <w:bCs/>
                <w:iCs/>
                <w:sz w:val="22"/>
                <w:szCs w:val="22"/>
              </w:rPr>
              <w:t>Mažinti ekonominius netolygumus</w:t>
            </w:r>
          </w:p>
        </w:tc>
      </w:tr>
      <w:tr w:rsidR="00D634E8" w:rsidRPr="009539BA">
        <w:tc>
          <w:tcPr>
            <w:tcW w:w="13887" w:type="dxa"/>
            <w:gridSpan w:val="5"/>
            <w:shd w:val="pct5" w:color="auto" w:fill="auto"/>
            <w:vAlign w:val="center"/>
          </w:tcPr>
          <w:p w:rsidR="00D634E8" w:rsidRPr="00F45E75" w:rsidRDefault="00F37FDA">
            <w:pPr>
              <w:ind w:left="360" w:hanging="360"/>
              <w:rPr>
                <w:b/>
                <w:sz w:val="22"/>
                <w:szCs w:val="22"/>
              </w:rPr>
            </w:pPr>
            <w:r w:rsidRPr="00F45E75">
              <w:rPr>
                <w:b/>
                <w:sz w:val="22"/>
                <w:szCs w:val="22"/>
              </w:rPr>
              <w:t>1.1</w:t>
            </w:r>
            <w:r w:rsidRPr="00F45E75">
              <w:rPr>
                <w:b/>
                <w:sz w:val="22"/>
                <w:szCs w:val="22"/>
              </w:rPr>
              <w:tab/>
              <w:t>uždavinys</w:t>
            </w:r>
            <w:r w:rsidR="007370E2" w:rsidRPr="00F45E75">
              <w:rPr>
                <w:i/>
                <w:sz w:val="22"/>
                <w:szCs w:val="22"/>
              </w:rPr>
              <w:t>:</w:t>
            </w:r>
            <w:r w:rsidR="00225CA0" w:rsidRPr="00F45E75">
              <w:rPr>
                <w:i/>
                <w:sz w:val="22"/>
                <w:szCs w:val="22"/>
              </w:rPr>
              <w:t> </w:t>
            </w:r>
            <w:r w:rsidR="00F410EC" w:rsidRPr="00F45E75">
              <w:rPr>
                <w:rFonts w:eastAsia="Calibri"/>
                <w:b/>
                <w:bCs/>
                <w:iCs/>
                <w:sz w:val="22"/>
                <w:szCs w:val="22"/>
              </w:rPr>
              <w:t>Paskatinti turizmo plėtrą</w:t>
            </w:r>
          </w:p>
        </w:tc>
      </w:tr>
      <w:tr w:rsidR="009B40DB" w:rsidRPr="009539BA" w:rsidTr="009539BA">
        <w:trPr>
          <w:trHeight w:val="545"/>
        </w:trPr>
        <w:tc>
          <w:tcPr>
            <w:tcW w:w="4531" w:type="dxa"/>
            <w:vAlign w:val="center"/>
          </w:tcPr>
          <w:p w:rsidR="009B40DB" w:rsidRPr="00F45E75" w:rsidRDefault="009B40DB" w:rsidP="003E6757">
            <w:pPr>
              <w:rPr>
                <w:sz w:val="22"/>
                <w:szCs w:val="22"/>
                <w:lang w:val="en-US"/>
              </w:rPr>
            </w:pPr>
            <w:r w:rsidRPr="00F45E75">
              <w:rPr>
                <w:sz w:val="22"/>
                <w:szCs w:val="22"/>
              </w:rPr>
              <w:t>1.1.1. Elektrėnų marių pritaikymas lankyti</w:t>
            </w:r>
          </w:p>
        </w:tc>
        <w:tc>
          <w:tcPr>
            <w:tcW w:w="1701" w:type="dxa"/>
            <w:vAlign w:val="center"/>
          </w:tcPr>
          <w:p w:rsidR="009B40DB" w:rsidRPr="00F45E75" w:rsidRDefault="00C25FAD" w:rsidP="009539BA">
            <w:pPr>
              <w:jc w:val="center"/>
              <w:rPr>
                <w:sz w:val="22"/>
                <w:szCs w:val="22"/>
              </w:rPr>
            </w:pPr>
            <w:r>
              <w:rPr>
                <w:sz w:val="22"/>
                <w:szCs w:val="22"/>
              </w:rPr>
              <w:t>Įgyvendinamas</w:t>
            </w:r>
          </w:p>
        </w:tc>
        <w:tc>
          <w:tcPr>
            <w:tcW w:w="1560" w:type="dxa"/>
            <w:vAlign w:val="center"/>
          </w:tcPr>
          <w:p w:rsidR="009B40DB" w:rsidRPr="00F45E75" w:rsidRDefault="009B40DB" w:rsidP="003E6757">
            <w:pPr>
              <w:rPr>
                <w:sz w:val="22"/>
                <w:szCs w:val="22"/>
              </w:rPr>
            </w:pPr>
            <w:r w:rsidRPr="00F45E75">
              <w:rPr>
                <w:sz w:val="22"/>
                <w:szCs w:val="22"/>
                <w:lang w:eastAsia="lt-LT"/>
              </w:rPr>
              <w:t>20-302-P-0001</w:t>
            </w:r>
          </w:p>
        </w:tc>
        <w:tc>
          <w:tcPr>
            <w:tcW w:w="1842" w:type="dxa"/>
            <w:vAlign w:val="center"/>
          </w:tcPr>
          <w:p w:rsidR="009B40DB" w:rsidRPr="00F45E75" w:rsidRDefault="00F45E75" w:rsidP="002C48FE">
            <w:pPr>
              <w:jc w:val="center"/>
              <w:rPr>
                <w:sz w:val="22"/>
                <w:szCs w:val="22"/>
              </w:rPr>
            </w:pPr>
            <w:r w:rsidRPr="00F45E75">
              <w:rPr>
                <w:sz w:val="22"/>
                <w:szCs w:val="22"/>
              </w:rPr>
              <w:t>Nėra</w:t>
            </w:r>
          </w:p>
        </w:tc>
        <w:tc>
          <w:tcPr>
            <w:tcW w:w="4253" w:type="dxa"/>
            <w:vAlign w:val="center"/>
          </w:tcPr>
          <w:p w:rsidR="009B40DB" w:rsidRPr="00F45E75" w:rsidRDefault="009B40DB" w:rsidP="00BF599C">
            <w:pPr>
              <w:pStyle w:val="Antrat1"/>
              <w:shd w:val="clear" w:color="auto" w:fill="FFFFFF"/>
              <w:spacing w:before="0" w:beforeAutospacing="0" w:after="0" w:afterAutospacing="0"/>
              <w:rPr>
                <w:sz w:val="22"/>
                <w:szCs w:val="22"/>
              </w:rPr>
            </w:pPr>
          </w:p>
        </w:tc>
      </w:tr>
      <w:tr w:rsidR="00CA5DA9" w:rsidRPr="009539BA" w:rsidTr="009539BA">
        <w:trPr>
          <w:trHeight w:val="519"/>
        </w:trPr>
        <w:tc>
          <w:tcPr>
            <w:tcW w:w="4531" w:type="dxa"/>
            <w:vAlign w:val="center"/>
          </w:tcPr>
          <w:p w:rsidR="00CA5DA9" w:rsidRPr="00F45E75" w:rsidRDefault="00CA5DA9" w:rsidP="00CA5DA9">
            <w:pPr>
              <w:rPr>
                <w:sz w:val="22"/>
                <w:szCs w:val="22"/>
                <w:lang w:val="en-US"/>
              </w:rPr>
            </w:pPr>
            <w:r w:rsidRPr="00F45E75">
              <w:rPr>
                <w:sz w:val="22"/>
                <w:szCs w:val="22"/>
              </w:rPr>
              <w:t>1.1.2. Pažintinio tako prie Bevardžio ežero įrengimas</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1.1.3. Vievio ežero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1.1.4. Merkinės dvaro (Pavlovo respublikos)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1.1.5. Jašiūnų dvaro sodybos parko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1.1.6. Šalčininkėlių tvenkinio ir miško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 xml:space="preserve">1.1.7. Vilkiškių dvaro ir parko pritaikymas lankyti </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1.1.8. Norviliškių pilies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1.1.9. Kernavės miestelio kultūros ir gamtos objektų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1.1.10. Širvintos upės ir kultūros objektų Širvintų mieste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pStyle w:val="Antrat1"/>
              <w:shd w:val="clear" w:color="auto" w:fill="FFFFFF"/>
              <w:spacing w:before="0" w:beforeAutospacing="0" w:after="0" w:afterAutospacing="0"/>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1.1.11. Švenčionių miesto kultūros objektų pritaikymas lankymui</w:t>
            </w:r>
          </w:p>
        </w:tc>
        <w:tc>
          <w:tcPr>
            <w:tcW w:w="1701" w:type="dxa"/>
            <w:vAlign w:val="center"/>
          </w:tcPr>
          <w:p w:rsidR="00CA5DA9" w:rsidRPr="00F45E75" w:rsidRDefault="00C25FAD" w:rsidP="009539BA">
            <w:pPr>
              <w:jc w:val="center"/>
              <w:rPr>
                <w:sz w:val="22"/>
                <w:szCs w:val="22"/>
              </w:rPr>
            </w:pPr>
            <w:r>
              <w:rPr>
                <w:sz w:val="22"/>
                <w:szCs w:val="22"/>
              </w:rPr>
              <w:t>Įgyvendinamas</w:t>
            </w:r>
          </w:p>
        </w:tc>
        <w:tc>
          <w:tcPr>
            <w:tcW w:w="1560" w:type="dxa"/>
            <w:vAlign w:val="center"/>
          </w:tcPr>
          <w:p w:rsidR="00CA5DA9" w:rsidRPr="00F45E75" w:rsidRDefault="00CA5DA9" w:rsidP="00CA5DA9">
            <w:pPr>
              <w:rPr>
                <w:sz w:val="22"/>
                <w:szCs w:val="22"/>
              </w:rPr>
            </w:pPr>
            <w:r w:rsidRPr="00F45E75">
              <w:rPr>
                <w:sz w:val="22"/>
                <w:szCs w:val="22"/>
                <w:lang w:eastAsia="lt-LT"/>
              </w:rPr>
              <w:t>20-302-P-0002</w:t>
            </w:r>
          </w:p>
        </w:tc>
        <w:tc>
          <w:tcPr>
            <w:tcW w:w="1842" w:type="dxa"/>
            <w:vAlign w:val="center"/>
          </w:tcPr>
          <w:p w:rsidR="00CA5DA9" w:rsidRPr="00F45E75" w:rsidRDefault="00F45E75" w:rsidP="00CA5DA9">
            <w:pPr>
              <w:jc w:val="center"/>
              <w:rPr>
                <w:sz w:val="22"/>
                <w:szCs w:val="22"/>
              </w:rPr>
            </w:pPr>
            <w:r w:rsidRPr="00F45E75">
              <w:rPr>
                <w:sz w:val="22"/>
                <w:szCs w:val="22"/>
              </w:rPr>
              <w:t>Nėra</w:t>
            </w:r>
          </w:p>
        </w:tc>
        <w:tc>
          <w:tcPr>
            <w:tcW w:w="4253" w:type="dxa"/>
            <w:vAlign w:val="center"/>
          </w:tcPr>
          <w:p w:rsidR="00CA5DA9" w:rsidRPr="00F45E75" w:rsidRDefault="00CA5DA9" w:rsidP="00CA5DA9">
            <w:pPr>
              <w:pStyle w:val="Antrat1"/>
              <w:shd w:val="clear" w:color="auto" w:fill="FFFFFF"/>
              <w:spacing w:before="0" w:beforeAutospacing="0" w:after="0" w:afterAutospacing="0"/>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rPr>
            </w:pPr>
            <w:r w:rsidRPr="00F45E75">
              <w:rPr>
                <w:sz w:val="22"/>
                <w:szCs w:val="22"/>
              </w:rPr>
              <w:t>1.1.12. Arakalnio (vadinamo Rėkalniu) Trakų mieste pritaikymas lankyti</w:t>
            </w:r>
          </w:p>
        </w:tc>
        <w:tc>
          <w:tcPr>
            <w:tcW w:w="1701" w:type="dxa"/>
            <w:vAlign w:val="center"/>
          </w:tcPr>
          <w:p w:rsidR="00CA5DA9" w:rsidRPr="00F45E75" w:rsidRDefault="00C25FAD" w:rsidP="009539BA">
            <w:pPr>
              <w:jc w:val="center"/>
              <w:rPr>
                <w:sz w:val="22"/>
                <w:szCs w:val="22"/>
              </w:rPr>
            </w:pPr>
            <w:r>
              <w:rPr>
                <w:sz w:val="22"/>
                <w:szCs w:val="22"/>
              </w:rPr>
              <w:t>Įgyvendinamas</w:t>
            </w:r>
          </w:p>
        </w:tc>
        <w:tc>
          <w:tcPr>
            <w:tcW w:w="1560" w:type="dxa"/>
            <w:vAlign w:val="center"/>
          </w:tcPr>
          <w:p w:rsidR="00CA5DA9" w:rsidRPr="00F45E75" w:rsidRDefault="00CA5DA9" w:rsidP="00CA5DA9">
            <w:pPr>
              <w:rPr>
                <w:sz w:val="22"/>
                <w:szCs w:val="22"/>
              </w:rPr>
            </w:pPr>
            <w:r w:rsidRPr="00F45E75">
              <w:rPr>
                <w:sz w:val="22"/>
                <w:szCs w:val="22"/>
                <w:lang w:eastAsia="lt-LT"/>
              </w:rPr>
              <w:t>20-301-P-0002</w:t>
            </w:r>
          </w:p>
        </w:tc>
        <w:tc>
          <w:tcPr>
            <w:tcW w:w="1842" w:type="dxa"/>
            <w:vAlign w:val="center"/>
          </w:tcPr>
          <w:p w:rsidR="00CA5DA9" w:rsidRPr="00F45E75" w:rsidRDefault="00F45E75" w:rsidP="00CA5DA9">
            <w:pPr>
              <w:jc w:val="center"/>
              <w:rPr>
                <w:sz w:val="22"/>
                <w:szCs w:val="22"/>
              </w:rPr>
            </w:pPr>
            <w:r w:rsidRPr="00F45E75">
              <w:rPr>
                <w:sz w:val="22"/>
                <w:szCs w:val="22"/>
              </w:rPr>
              <w:t>Nėra</w:t>
            </w:r>
          </w:p>
        </w:tc>
        <w:tc>
          <w:tcPr>
            <w:tcW w:w="4253" w:type="dxa"/>
            <w:vAlign w:val="center"/>
          </w:tcPr>
          <w:p w:rsidR="00CA5DA9" w:rsidRPr="00F45E75" w:rsidRDefault="00CA5DA9" w:rsidP="00CA5DA9">
            <w:pPr>
              <w:pStyle w:val="Antrat1"/>
              <w:shd w:val="clear" w:color="auto" w:fill="FFFFFF"/>
              <w:spacing w:before="0" w:beforeAutospacing="0" w:after="0" w:afterAutospacing="0"/>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1.1.13. Karvinės ir Bažnytėlės salų, esančių Galvės ežere, pritaikymas lankyti</w:t>
            </w:r>
          </w:p>
        </w:tc>
        <w:tc>
          <w:tcPr>
            <w:tcW w:w="1701" w:type="dxa"/>
            <w:vAlign w:val="center"/>
          </w:tcPr>
          <w:p w:rsidR="00CA5DA9" w:rsidRPr="00F45E75" w:rsidRDefault="00F45E75"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F45E75"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kern w:val="36"/>
                <w:sz w:val="22"/>
                <w:szCs w:val="22"/>
                <w:lang w:eastAsia="lt-LT"/>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1.1.14. Galvės ir Lukos ežerų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1.1.15. Totoriškių ežero rytinės pakrantės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1.1.16. Totoriškių ežero vakarinės pakrantės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1.1.17. Priemonių, skatinančių keliauti Vilniaus regione, įgyvendinimas</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1.1.18. Siesikų dvaro sodybos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CA5DA9" w:rsidRPr="009539BA" w:rsidTr="009539BA">
        <w:trPr>
          <w:trHeight w:val="545"/>
        </w:trPr>
        <w:tc>
          <w:tcPr>
            <w:tcW w:w="4531" w:type="dxa"/>
            <w:vAlign w:val="center"/>
          </w:tcPr>
          <w:p w:rsidR="00CA5DA9" w:rsidRPr="00F45E75" w:rsidRDefault="00CA5DA9" w:rsidP="00CA5DA9">
            <w:pPr>
              <w:rPr>
                <w:sz w:val="22"/>
                <w:szCs w:val="22"/>
                <w:lang w:val="en-US"/>
              </w:rPr>
            </w:pPr>
            <w:r w:rsidRPr="00F45E75">
              <w:rPr>
                <w:sz w:val="22"/>
                <w:szCs w:val="22"/>
              </w:rPr>
              <w:t>1.1.19. Prezidento Antano  Smetonos dvaro muziejinio komplekso pritaikymas lankyti</w:t>
            </w:r>
          </w:p>
        </w:tc>
        <w:tc>
          <w:tcPr>
            <w:tcW w:w="1701" w:type="dxa"/>
            <w:vAlign w:val="center"/>
          </w:tcPr>
          <w:p w:rsidR="00CA5DA9" w:rsidRPr="00F45E75" w:rsidRDefault="00CA5DA9" w:rsidP="009539BA">
            <w:pPr>
              <w:jc w:val="center"/>
              <w:rPr>
                <w:sz w:val="22"/>
                <w:szCs w:val="22"/>
              </w:rPr>
            </w:pPr>
            <w:r w:rsidRPr="00F45E75">
              <w:rPr>
                <w:sz w:val="22"/>
                <w:szCs w:val="22"/>
              </w:rPr>
              <w:t>Rengiamas</w:t>
            </w:r>
          </w:p>
        </w:tc>
        <w:tc>
          <w:tcPr>
            <w:tcW w:w="1560" w:type="dxa"/>
            <w:vAlign w:val="center"/>
          </w:tcPr>
          <w:p w:rsidR="00CA5DA9" w:rsidRPr="00F45E75" w:rsidRDefault="00CA5DA9" w:rsidP="00CA5DA9">
            <w:pPr>
              <w:rPr>
                <w:sz w:val="22"/>
                <w:szCs w:val="22"/>
              </w:rPr>
            </w:pPr>
          </w:p>
        </w:tc>
        <w:tc>
          <w:tcPr>
            <w:tcW w:w="1842" w:type="dxa"/>
            <w:vAlign w:val="center"/>
          </w:tcPr>
          <w:p w:rsidR="00CA5DA9" w:rsidRPr="00F45E75" w:rsidRDefault="00CA5DA9" w:rsidP="00CA5DA9">
            <w:pPr>
              <w:jc w:val="center"/>
              <w:rPr>
                <w:sz w:val="22"/>
                <w:szCs w:val="22"/>
              </w:rPr>
            </w:pPr>
            <w:r w:rsidRPr="00F45E75">
              <w:rPr>
                <w:sz w:val="22"/>
                <w:szCs w:val="22"/>
              </w:rPr>
              <w:t>Maža</w:t>
            </w:r>
          </w:p>
        </w:tc>
        <w:tc>
          <w:tcPr>
            <w:tcW w:w="4253" w:type="dxa"/>
            <w:vAlign w:val="center"/>
          </w:tcPr>
          <w:p w:rsidR="00CA5DA9" w:rsidRPr="00F45E75" w:rsidRDefault="00CA5DA9" w:rsidP="00CA5DA9">
            <w:pPr>
              <w:rPr>
                <w:sz w:val="22"/>
                <w:szCs w:val="22"/>
              </w:rPr>
            </w:pPr>
          </w:p>
        </w:tc>
      </w:tr>
      <w:tr w:rsidR="00616599" w:rsidRPr="009539BA" w:rsidTr="009539BA">
        <w:trPr>
          <w:trHeight w:val="545"/>
        </w:trPr>
        <w:tc>
          <w:tcPr>
            <w:tcW w:w="4531" w:type="dxa"/>
            <w:vAlign w:val="center"/>
          </w:tcPr>
          <w:p w:rsidR="00616599" w:rsidRPr="00F45E75" w:rsidRDefault="00616599" w:rsidP="00616599">
            <w:pPr>
              <w:rPr>
                <w:sz w:val="22"/>
                <w:szCs w:val="22"/>
                <w:lang w:val="en-US"/>
              </w:rPr>
            </w:pPr>
            <w:r w:rsidRPr="00F45E75">
              <w:rPr>
                <w:sz w:val="22"/>
                <w:szCs w:val="22"/>
              </w:rPr>
              <w:t>1.1.20. Šventupės dvaro pritaikymas lankyti</w:t>
            </w:r>
          </w:p>
        </w:tc>
        <w:tc>
          <w:tcPr>
            <w:tcW w:w="1701" w:type="dxa"/>
            <w:vAlign w:val="center"/>
          </w:tcPr>
          <w:p w:rsidR="00616599" w:rsidRPr="00F45E75" w:rsidRDefault="00616599" w:rsidP="009539BA">
            <w:pPr>
              <w:jc w:val="center"/>
              <w:rPr>
                <w:sz w:val="22"/>
                <w:szCs w:val="22"/>
              </w:rPr>
            </w:pPr>
            <w:r w:rsidRPr="00F45E75">
              <w:rPr>
                <w:sz w:val="22"/>
                <w:szCs w:val="22"/>
              </w:rPr>
              <w:t>Rengiamas</w:t>
            </w:r>
          </w:p>
        </w:tc>
        <w:tc>
          <w:tcPr>
            <w:tcW w:w="1560" w:type="dxa"/>
            <w:vAlign w:val="center"/>
          </w:tcPr>
          <w:p w:rsidR="00616599" w:rsidRPr="00F45E75" w:rsidRDefault="00616599" w:rsidP="00616599">
            <w:pPr>
              <w:rPr>
                <w:sz w:val="22"/>
                <w:szCs w:val="22"/>
              </w:rPr>
            </w:pPr>
          </w:p>
        </w:tc>
        <w:tc>
          <w:tcPr>
            <w:tcW w:w="1842" w:type="dxa"/>
            <w:vAlign w:val="center"/>
          </w:tcPr>
          <w:p w:rsidR="00616599" w:rsidRPr="00F45E75" w:rsidRDefault="00616599" w:rsidP="00616599">
            <w:pPr>
              <w:jc w:val="center"/>
              <w:rPr>
                <w:sz w:val="22"/>
                <w:szCs w:val="22"/>
              </w:rPr>
            </w:pPr>
            <w:r w:rsidRPr="00F45E75">
              <w:rPr>
                <w:sz w:val="22"/>
                <w:szCs w:val="22"/>
              </w:rPr>
              <w:t>Maža</w:t>
            </w:r>
          </w:p>
        </w:tc>
        <w:tc>
          <w:tcPr>
            <w:tcW w:w="4253" w:type="dxa"/>
            <w:vAlign w:val="center"/>
          </w:tcPr>
          <w:p w:rsidR="00616599" w:rsidRPr="00F45E75" w:rsidRDefault="00616599" w:rsidP="00616599">
            <w:pPr>
              <w:rPr>
                <w:sz w:val="22"/>
                <w:szCs w:val="22"/>
              </w:rPr>
            </w:pPr>
          </w:p>
        </w:tc>
      </w:tr>
      <w:tr w:rsidR="00616599" w:rsidRPr="009539BA" w:rsidTr="009539BA">
        <w:trPr>
          <w:trHeight w:val="545"/>
        </w:trPr>
        <w:tc>
          <w:tcPr>
            <w:tcW w:w="4531" w:type="dxa"/>
            <w:vAlign w:val="center"/>
          </w:tcPr>
          <w:p w:rsidR="00616599" w:rsidRPr="00F45E75" w:rsidRDefault="00616599" w:rsidP="00616599">
            <w:pPr>
              <w:rPr>
                <w:sz w:val="22"/>
                <w:szCs w:val="22"/>
                <w:lang w:val="en-US"/>
              </w:rPr>
            </w:pPr>
            <w:r w:rsidRPr="00F45E75">
              <w:rPr>
                <w:sz w:val="22"/>
                <w:szCs w:val="22"/>
              </w:rPr>
              <w:t>1.1.21. Ukmergės senamiesčio  ir Šventosios upės pritaikymas lankyti</w:t>
            </w:r>
          </w:p>
        </w:tc>
        <w:tc>
          <w:tcPr>
            <w:tcW w:w="1701" w:type="dxa"/>
            <w:vAlign w:val="center"/>
          </w:tcPr>
          <w:p w:rsidR="00616599" w:rsidRPr="00F45E75" w:rsidRDefault="00616599" w:rsidP="009539BA">
            <w:pPr>
              <w:jc w:val="center"/>
              <w:rPr>
                <w:sz w:val="22"/>
                <w:szCs w:val="22"/>
              </w:rPr>
            </w:pPr>
            <w:r w:rsidRPr="00F45E75">
              <w:rPr>
                <w:sz w:val="22"/>
                <w:szCs w:val="22"/>
              </w:rPr>
              <w:t>Rengiamas</w:t>
            </w:r>
          </w:p>
        </w:tc>
        <w:tc>
          <w:tcPr>
            <w:tcW w:w="1560" w:type="dxa"/>
            <w:vAlign w:val="center"/>
          </w:tcPr>
          <w:p w:rsidR="00616599" w:rsidRPr="00F45E75" w:rsidRDefault="00616599" w:rsidP="00616599">
            <w:pPr>
              <w:rPr>
                <w:sz w:val="22"/>
                <w:szCs w:val="22"/>
              </w:rPr>
            </w:pPr>
          </w:p>
        </w:tc>
        <w:tc>
          <w:tcPr>
            <w:tcW w:w="1842" w:type="dxa"/>
            <w:vAlign w:val="center"/>
          </w:tcPr>
          <w:p w:rsidR="00616599" w:rsidRPr="00F45E75" w:rsidRDefault="00616599" w:rsidP="00616599">
            <w:pPr>
              <w:jc w:val="center"/>
              <w:rPr>
                <w:sz w:val="22"/>
                <w:szCs w:val="22"/>
              </w:rPr>
            </w:pPr>
            <w:r w:rsidRPr="00F45E75">
              <w:rPr>
                <w:sz w:val="22"/>
                <w:szCs w:val="22"/>
              </w:rPr>
              <w:t>Maža</w:t>
            </w:r>
          </w:p>
        </w:tc>
        <w:tc>
          <w:tcPr>
            <w:tcW w:w="4253" w:type="dxa"/>
            <w:vAlign w:val="center"/>
          </w:tcPr>
          <w:p w:rsidR="00616599" w:rsidRPr="00F45E75" w:rsidRDefault="00616599" w:rsidP="00616599">
            <w:pPr>
              <w:rPr>
                <w:sz w:val="22"/>
                <w:szCs w:val="22"/>
              </w:rPr>
            </w:pPr>
          </w:p>
        </w:tc>
      </w:tr>
      <w:tr w:rsidR="00616599" w:rsidRPr="009539BA" w:rsidTr="009539BA">
        <w:trPr>
          <w:trHeight w:val="545"/>
        </w:trPr>
        <w:tc>
          <w:tcPr>
            <w:tcW w:w="4531" w:type="dxa"/>
            <w:vAlign w:val="center"/>
          </w:tcPr>
          <w:p w:rsidR="00616599" w:rsidRPr="00F45E75" w:rsidRDefault="00616599" w:rsidP="00616599">
            <w:pPr>
              <w:rPr>
                <w:sz w:val="22"/>
                <w:szCs w:val="22"/>
                <w:lang w:val="en-US"/>
              </w:rPr>
            </w:pPr>
            <w:r w:rsidRPr="00F45E75">
              <w:rPr>
                <w:sz w:val="22"/>
                <w:szCs w:val="22"/>
              </w:rPr>
              <w:t>1.1.22. Viešosios turizmo infrastruktūros prie Kadrėnų tvenkinio modernizavimas</w:t>
            </w:r>
          </w:p>
        </w:tc>
        <w:tc>
          <w:tcPr>
            <w:tcW w:w="1701" w:type="dxa"/>
            <w:vAlign w:val="center"/>
          </w:tcPr>
          <w:p w:rsidR="00616599" w:rsidRPr="00F45E75" w:rsidRDefault="00616599" w:rsidP="009539BA">
            <w:pPr>
              <w:jc w:val="center"/>
              <w:rPr>
                <w:sz w:val="22"/>
                <w:szCs w:val="22"/>
              </w:rPr>
            </w:pPr>
            <w:r w:rsidRPr="00F45E75">
              <w:rPr>
                <w:sz w:val="22"/>
                <w:szCs w:val="22"/>
              </w:rPr>
              <w:t>Rengiamas</w:t>
            </w:r>
          </w:p>
        </w:tc>
        <w:tc>
          <w:tcPr>
            <w:tcW w:w="1560" w:type="dxa"/>
            <w:vAlign w:val="center"/>
          </w:tcPr>
          <w:p w:rsidR="00616599" w:rsidRPr="00F45E75" w:rsidRDefault="00616599" w:rsidP="00616599">
            <w:pPr>
              <w:rPr>
                <w:sz w:val="22"/>
                <w:szCs w:val="22"/>
              </w:rPr>
            </w:pPr>
          </w:p>
        </w:tc>
        <w:tc>
          <w:tcPr>
            <w:tcW w:w="1842" w:type="dxa"/>
            <w:vAlign w:val="center"/>
          </w:tcPr>
          <w:p w:rsidR="00616599" w:rsidRPr="00F45E75" w:rsidRDefault="00616599" w:rsidP="00616599">
            <w:pPr>
              <w:jc w:val="center"/>
              <w:rPr>
                <w:sz w:val="22"/>
                <w:szCs w:val="22"/>
              </w:rPr>
            </w:pPr>
            <w:r w:rsidRPr="00F45E75">
              <w:rPr>
                <w:sz w:val="22"/>
                <w:szCs w:val="22"/>
              </w:rPr>
              <w:t>Maža</w:t>
            </w:r>
          </w:p>
        </w:tc>
        <w:tc>
          <w:tcPr>
            <w:tcW w:w="4253" w:type="dxa"/>
            <w:vAlign w:val="center"/>
          </w:tcPr>
          <w:p w:rsidR="00616599" w:rsidRPr="00F45E75" w:rsidRDefault="00616599" w:rsidP="00616599">
            <w:pPr>
              <w:rPr>
                <w:sz w:val="22"/>
                <w:szCs w:val="22"/>
              </w:rPr>
            </w:pPr>
          </w:p>
        </w:tc>
      </w:tr>
      <w:tr w:rsidR="00616599" w:rsidRPr="009539BA" w:rsidTr="009539BA">
        <w:trPr>
          <w:trHeight w:val="545"/>
        </w:trPr>
        <w:tc>
          <w:tcPr>
            <w:tcW w:w="4531" w:type="dxa"/>
            <w:vAlign w:val="center"/>
          </w:tcPr>
          <w:p w:rsidR="00616599" w:rsidRPr="00F45E75" w:rsidRDefault="00616599" w:rsidP="00616599">
            <w:pPr>
              <w:rPr>
                <w:sz w:val="22"/>
                <w:szCs w:val="22"/>
                <w:lang w:val="en-US"/>
              </w:rPr>
            </w:pPr>
            <w:r w:rsidRPr="00F45E75">
              <w:rPr>
                <w:sz w:val="22"/>
                <w:szCs w:val="22"/>
              </w:rPr>
              <w:t>1.1.23. Europos geografinio centro pritaikymas turizmo poreikiams</w:t>
            </w:r>
          </w:p>
        </w:tc>
        <w:tc>
          <w:tcPr>
            <w:tcW w:w="1701" w:type="dxa"/>
            <w:vAlign w:val="center"/>
          </w:tcPr>
          <w:p w:rsidR="00616599" w:rsidRPr="00F45E75" w:rsidRDefault="00616599" w:rsidP="009539BA">
            <w:pPr>
              <w:jc w:val="center"/>
              <w:rPr>
                <w:sz w:val="22"/>
                <w:szCs w:val="22"/>
              </w:rPr>
            </w:pPr>
            <w:r w:rsidRPr="00F45E75">
              <w:rPr>
                <w:sz w:val="22"/>
                <w:szCs w:val="22"/>
              </w:rPr>
              <w:t>Rengiamas</w:t>
            </w:r>
          </w:p>
        </w:tc>
        <w:tc>
          <w:tcPr>
            <w:tcW w:w="1560" w:type="dxa"/>
            <w:vAlign w:val="center"/>
          </w:tcPr>
          <w:p w:rsidR="00616599" w:rsidRPr="00F45E75" w:rsidRDefault="00616599" w:rsidP="00616599">
            <w:pPr>
              <w:rPr>
                <w:sz w:val="22"/>
                <w:szCs w:val="22"/>
              </w:rPr>
            </w:pPr>
          </w:p>
        </w:tc>
        <w:tc>
          <w:tcPr>
            <w:tcW w:w="1842" w:type="dxa"/>
            <w:vAlign w:val="center"/>
          </w:tcPr>
          <w:p w:rsidR="00616599" w:rsidRPr="00F45E75" w:rsidRDefault="00616599" w:rsidP="00616599">
            <w:pPr>
              <w:jc w:val="center"/>
              <w:rPr>
                <w:sz w:val="22"/>
                <w:szCs w:val="22"/>
              </w:rPr>
            </w:pPr>
            <w:r w:rsidRPr="00F45E75">
              <w:rPr>
                <w:sz w:val="22"/>
                <w:szCs w:val="22"/>
              </w:rPr>
              <w:t>Maža</w:t>
            </w:r>
          </w:p>
        </w:tc>
        <w:tc>
          <w:tcPr>
            <w:tcW w:w="4253" w:type="dxa"/>
            <w:vAlign w:val="center"/>
          </w:tcPr>
          <w:p w:rsidR="00616599" w:rsidRPr="00F45E75" w:rsidRDefault="00616599" w:rsidP="00616599">
            <w:pPr>
              <w:rPr>
                <w:sz w:val="22"/>
                <w:szCs w:val="22"/>
              </w:rPr>
            </w:pPr>
          </w:p>
        </w:tc>
      </w:tr>
      <w:tr w:rsidR="00616599" w:rsidRPr="009539BA" w:rsidTr="009539BA">
        <w:trPr>
          <w:trHeight w:val="545"/>
        </w:trPr>
        <w:tc>
          <w:tcPr>
            <w:tcW w:w="4531" w:type="dxa"/>
            <w:vAlign w:val="center"/>
          </w:tcPr>
          <w:p w:rsidR="00616599" w:rsidRPr="00F45E75" w:rsidRDefault="00616599" w:rsidP="00616599">
            <w:pPr>
              <w:rPr>
                <w:sz w:val="22"/>
                <w:szCs w:val="22"/>
                <w:lang w:val="en-US"/>
              </w:rPr>
            </w:pPr>
            <w:r w:rsidRPr="00F45E75">
              <w:rPr>
                <w:sz w:val="22"/>
                <w:szCs w:val="22"/>
              </w:rPr>
              <w:t>1.1.24. Nemenčinės piliakalnio su priešpiliu pritaikymas lankyti</w:t>
            </w:r>
          </w:p>
        </w:tc>
        <w:tc>
          <w:tcPr>
            <w:tcW w:w="1701" w:type="dxa"/>
            <w:vAlign w:val="center"/>
          </w:tcPr>
          <w:p w:rsidR="00616599" w:rsidRPr="00F45E75" w:rsidRDefault="00C25FAD" w:rsidP="009539BA">
            <w:pPr>
              <w:jc w:val="center"/>
              <w:rPr>
                <w:sz w:val="22"/>
                <w:szCs w:val="22"/>
              </w:rPr>
            </w:pPr>
            <w:r>
              <w:rPr>
                <w:sz w:val="22"/>
                <w:szCs w:val="22"/>
              </w:rPr>
              <w:t>Įgyvendinamas</w:t>
            </w:r>
          </w:p>
        </w:tc>
        <w:tc>
          <w:tcPr>
            <w:tcW w:w="1560" w:type="dxa"/>
            <w:vAlign w:val="center"/>
          </w:tcPr>
          <w:p w:rsidR="00616599" w:rsidRPr="00F45E75" w:rsidRDefault="00616599" w:rsidP="00616599">
            <w:pPr>
              <w:rPr>
                <w:sz w:val="22"/>
                <w:szCs w:val="22"/>
              </w:rPr>
            </w:pPr>
            <w:r w:rsidRPr="00F45E75">
              <w:rPr>
                <w:sz w:val="22"/>
                <w:szCs w:val="22"/>
                <w:lang w:eastAsia="lt-LT"/>
              </w:rPr>
              <w:t>20-301-P-0001</w:t>
            </w:r>
          </w:p>
        </w:tc>
        <w:tc>
          <w:tcPr>
            <w:tcW w:w="1842" w:type="dxa"/>
            <w:vAlign w:val="center"/>
          </w:tcPr>
          <w:p w:rsidR="00616599" w:rsidRPr="00F45E75" w:rsidRDefault="00F45E75" w:rsidP="00616599">
            <w:pPr>
              <w:jc w:val="center"/>
              <w:rPr>
                <w:sz w:val="22"/>
                <w:szCs w:val="22"/>
              </w:rPr>
            </w:pPr>
            <w:r w:rsidRPr="00F45E75">
              <w:rPr>
                <w:sz w:val="22"/>
                <w:szCs w:val="22"/>
              </w:rPr>
              <w:t>Nėra</w:t>
            </w:r>
          </w:p>
        </w:tc>
        <w:tc>
          <w:tcPr>
            <w:tcW w:w="4253" w:type="dxa"/>
            <w:vAlign w:val="center"/>
          </w:tcPr>
          <w:p w:rsidR="00616599" w:rsidRPr="00F45E75" w:rsidRDefault="00616599" w:rsidP="00616599">
            <w:pPr>
              <w:rPr>
                <w:sz w:val="22"/>
                <w:szCs w:val="22"/>
              </w:rPr>
            </w:pPr>
          </w:p>
        </w:tc>
      </w:tr>
      <w:tr w:rsidR="00616599" w:rsidRPr="009539BA" w:rsidTr="009539BA">
        <w:trPr>
          <w:trHeight w:val="545"/>
        </w:trPr>
        <w:tc>
          <w:tcPr>
            <w:tcW w:w="4531" w:type="dxa"/>
            <w:vAlign w:val="center"/>
          </w:tcPr>
          <w:p w:rsidR="00616599" w:rsidRPr="00F45E75" w:rsidRDefault="00616599" w:rsidP="00616599">
            <w:pPr>
              <w:rPr>
                <w:sz w:val="22"/>
                <w:szCs w:val="22"/>
                <w:lang w:val="en-US"/>
              </w:rPr>
            </w:pPr>
            <w:r w:rsidRPr="00F45E75">
              <w:rPr>
                <w:sz w:val="22"/>
                <w:szCs w:val="22"/>
              </w:rPr>
              <w:t>1.1.25. Maišiagalos piliakalnio pritaikymas lankyti</w:t>
            </w:r>
          </w:p>
        </w:tc>
        <w:tc>
          <w:tcPr>
            <w:tcW w:w="1701" w:type="dxa"/>
            <w:vAlign w:val="center"/>
          </w:tcPr>
          <w:p w:rsidR="00616599" w:rsidRPr="00F45E75" w:rsidRDefault="00616599" w:rsidP="009539BA">
            <w:pPr>
              <w:jc w:val="center"/>
              <w:rPr>
                <w:sz w:val="22"/>
                <w:szCs w:val="22"/>
              </w:rPr>
            </w:pPr>
            <w:r w:rsidRPr="00F45E75">
              <w:rPr>
                <w:sz w:val="22"/>
                <w:szCs w:val="22"/>
              </w:rPr>
              <w:t>Rengiamas</w:t>
            </w:r>
          </w:p>
        </w:tc>
        <w:tc>
          <w:tcPr>
            <w:tcW w:w="1560" w:type="dxa"/>
            <w:vAlign w:val="center"/>
          </w:tcPr>
          <w:p w:rsidR="00616599" w:rsidRPr="00F45E75" w:rsidRDefault="00616599" w:rsidP="00616599">
            <w:pPr>
              <w:rPr>
                <w:sz w:val="22"/>
                <w:szCs w:val="22"/>
              </w:rPr>
            </w:pPr>
          </w:p>
        </w:tc>
        <w:tc>
          <w:tcPr>
            <w:tcW w:w="1842" w:type="dxa"/>
            <w:vAlign w:val="center"/>
          </w:tcPr>
          <w:p w:rsidR="00616599" w:rsidRPr="00F45E75" w:rsidRDefault="00616599" w:rsidP="00616599">
            <w:pPr>
              <w:jc w:val="center"/>
              <w:rPr>
                <w:sz w:val="22"/>
                <w:szCs w:val="22"/>
              </w:rPr>
            </w:pPr>
            <w:r w:rsidRPr="00F45E75">
              <w:rPr>
                <w:sz w:val="22"/>
                <w:szCs w:val="22"/>
              </w:rPr>
              <w:t>Maža</w:t>
            </w:r>
          </w:p>
        </w:tc>
        <w:tc>
          <w:tcPr>
            <w:tcW w:w="4253" w:type="dxa"/>
            <w:vAlign w:val="center"/>
          </w:tcPr>
          <w:p w:rsidR="00616599" w:rsidRPr="00F45E75" w:rsidRDefault="00616599" w:rsidP="00616599">
            <w:pPr>
              <w:rPr>
                <w:sz w:val="22"/>
                <w:szCs w:val="22"/>
              </w:rPr>
            </w:pPr>
          </w:p>
        </w:tc>
      </w:tr>
      <w:tr w:rsidR="00616599" w:rsidRPr="009539BA" w:rsidTr="009539BA">
        <w:trPr>
          <w:trHeight w:val="545"/>
        </w:trPr>
        <w:tc>
          <w:tcPr>
            <w:tcW w:w="4531" w:type="dxa"/>
            <w:vAlign w:val="center"/>
          </w:tcPr>
          <w:p w:rsidR="00616599" w:rsidRPr="00F45E75" w:rsidRDefault="00616599" w:rsidP="00616599">
            <w:pPr>
              <w:rPr>
                <w:sz w:val="22"/>
                <w:szCs w:val="22"/>
                <w:lang w:val="en-US"/>
              </w:rPr>
            </w:pPr>
            <w:r w:rsidRPr="00F45E75">
              <w:rPr>
                <w:sz w:val="22"/>
                <w:szCs w:val="22"/>
              </w:rPr>
              <w:t>1.1.26. Vilnojos ežero pritaikymas lankyti</w:t>
            </w:r>
          </w:p>
        </w:tc>
        <w:tc>
          <w:tcPr>
            <w:tcW w:w="1701" w:type="dxa"/>
            <w:vAlign w:val="center"/>
          </w:tcPr>
          <w:p w:rsidR="00616599" w:rsidRPr="00F45E75" w:rsidRDefault="00616599" w:rsidP="009539BA">
            <w:pPr>
              <w:jc w:val="center"/>
              <w:rPr>
                <w:sz w:val="22"/>
                <w:szCs w:val="22"/>
              </w:rPr>
            </w:pPr>
            <w:r w:rsidRPr="00F45E75">
              <w:rPr>
                <w:sz w:val="22"/>
                <w:szCs w:val="22"/>
              </w:rPr>
              <w:t>Rengiamas</w:t>
            </w:r>
          </w:p>
        </w:tc>
        <w:tc>
          <w:tcPr>
            <w:tcW w:w="1560" w:type="dxa"/>
            <w:vAlign w:val="center"/>
          </w:tcPr>
          <w:p w:rsidR="00616599" w:rsidRPr="00F45E75" w:rsidRDefault="00616599" w:rsidP="00616599">
            <w:pPr>
              <w:rPr>
                <w:sz w:val="22"/>
                <w:szCs w:val="22"/>
              </w:rPr>
            </w:pPr>
          </w:p>
        </w:tc>
        <w:tc>
          <w:tcPr>
            <w:tcW w:w="1842" w:type="dxa"/>
            <w:vAlign w:val="center"/>
          </w:tcPr>
          <w:p w:rsidR="00616599" w:rsidRPr="00F45E75" w:rsidRDefault="00616599" w:rsidP="00616599">
            <w:pPr>
              <w:jc w:val="center"/>
              <w:rPr>
                <w:sz w:val="22"/>
                <w:szCs w:val="22"/>
              </w:rPr>
            </w:pPr>
            <w:r w:rsidRPr="00F45E75">
              <w:rPr>
                <w:sz w:val="22"/>
                <w:szCs w:val="22"/>
              </w:rPr>
              <w:t>Maža</w:t>
            </w:r>
          </w:p>
        </w:tc>
        <w:tc>
          <w:tcPr>
            <w:tcW w:w="4253" w:type="dxa"/>
            <w:vAlign w:val="center"/>
          </w:tcPr>
          <w:p w:rsidR="00616599" w:rsidRPr="00F45E75" w:rsidRDefault="00616599" w:rsidP="00616599">
            <w:pPr>
              <w:rPr>
                <w:sz w:val="22"/>
                <w:szCs w:val="22"/>
              </w:rPr>
            </w:pPr>
          </w:p>
        </w:tc>
      </w:tr>
      <w:tr w:rsidR="008A4802" w:rsidRPr="009539BA" w:rsidTr="009539BA">
        <w:trPr>
          <w:trHeight w:val="545"/>
        </w:trPr>
        <w:tc>
          <w:tcPr>
            <w:tcW w:w="4531" w:type="dxa"/>
            <w:vAlign w:val="center"/>
          </w:tcPr>
          <w:p w:rsidR="008A4802" w:rsidRPr="00F45E75" w:rsidRDefault="008A4802" w:rsidP="008A4802">
            <w:pPr>
              <w:rPr>
                <w:sz w:val="22"/>
                <w:szCs w:val="22"/>
                <w:lang w:val="en-US"/>
              </w:rPr>
            </w:pPr>
            <w:r w:rsidRPr="00F45E75">
              <w:rPr>
                <w:sz w:val="22"/>
                <w:szCs w:val="22"/>
              </w:rPr>
              <w:t>1.1.27. Jungtinė veikos sutartis dėl turizmo plėtros skatinimo</w:t>
            </w:r>
          </w:p>
        </w:tc>
        <w:tc>
          <w:tcPr>
            <w:tcW w:w="1701" w:type="dxa"/>
            <w:vAlign w:val="center"/>
          </w:tcPr>
          <w:p w:rsidR="008A4802" w:rsidRPr="00F45E75" w:rsidRDefault="00CA5DA9" w:rsidP="009539BA">
            <w:pPr>
              <w:jc w:val="center"/>
              <w:rPr>
                <w:sz w:val="22"/>
                <w:szCs w:val="22"/>
              </w:rPr>
            </w:pPr>
            <w:r w:rsidRPr="00F45E75">
              <w:rPr>
                <w:sz w:val="22"/>
                <w:szCs w:val="22"/>
              </w:rPr>
              <w:t>Į</w:t>
            </w:r>
            <w:r w:rsidR="00CF022F" w:rsidRPr="00F45E75">
              <w:rPr>
                <w:sz w:val="22"/>
                <w:szCs w:val="22"/>
              </w:rPr>
              <w:t>gyvendinama</w:t>
            </w:r>
            <w:r w:rsidR="006701F1" w:rsidRPr="00F45E75">
              <w:rPr>
                <w:sz w:val="22"/>
                <w:szCs w:val="22"/>
              </w:rPr>
              <w:t>s</w:t>
            </w:r>
          </w:p>
        </w:tc>
        <w:tc>
          <w:tcPr>
            <w:tcW w:w="1560" w:type="dxa"/>
            <w:vAlign w:val="center"/>
          </w:tcPr>
          <w:p w:rsidR="008A4802" w:rsidRPr="00F45E75" w:rsidRDefault="008A4802" w:rsidP="004C5221">
            <w:pPr>
              <w:spacing w:after="80"/>
              <w:jc w:val="both"/>
              <w:rPr>
                <w:sz w:val="22"/>
                <w:szCs w:val="22"/>
              </w:rPr>
            </w:pPr>
          </w:p>
        </w:tc>
        <w:tc>
          <w:tcPr>
            <w:tcW w:w="1842" w:type="dxa"/>
            <w:vAlign w:val="center"/>
          </w:tcPr>
          <w:p w:rsidR="008A4802" w:rsidRPr="00F45E75" w:rsidRDefault="00616599" w:rsidP="008A4802">
            <w:pPr>
              <w:jc w:val="center"/>
              <w:rPr>
                <w:sz w:val="22"/>
                <w:szCs w:val="22"/>
              </w:rPr>
            </w:pPr>
            <w:r w:rsidRPr="00F45E75">
              <w:rPr>
                <w:sz w:val="22"/>
                <w:szCs w:val="22"/>
              </w:rPr>
              <w:t>N</w:t>
            </w:r>
            <w:r w:rsidR="00B64475" w:rsidRPr="00F45E75">
              <w:rPr>
                <w:sz w:val="22"/>
                <w:szCs w:val="22"/>
              </w:rPr>
              <w:t>ėra</w:t>
            </w:r>
          </w:p>
        </w:tc>
        <w:tc>
          <w:tcPr>
            <w:tcW w:w="4253" w:type="dxa"/>
            <w:vAlign w:val="center"/>
          </w:tcPr>
          <w:p w:rsidR="008A4802" w:rsidRPr="00F45E75" w:rsidRDefault="008A4802" w:rsidP="007260E9">
            <w:pPr>
              <w:spacing w:after="80"/>
              <w:jc w:val="both"/>
              <w:rPr>
                <w:sz w:val="22"/>
                <w:szCs w:val="22"/>
              </w:rPr>
            </w:pPr>
          </w:p>
        </w:tc>
      </w:tr>
      <w:tr w:rsidR="00BE602E" w:rsidRPr="009539BA" w:rsidTr="00DC6907">
        <w:trPr>
          <w:trHeight w:val="399"/>
        </w:trPr>
        <w:tc>
          <w:tcPr>
            <w:tcW w:w="13887" w:type="dxa"/>
            <w:gridSpan w:val="5"/>
            <w:shd w:val="clear" w:color="auto" w:fill="E7E6E6" w:themeFill="background2"/>
            <w:vAlign w:val="center"/>
          </w:tcPr>
          <w:p w:rsidR="00BE602E" w:rsidRPr="009539BA" w:rsidRDefault="00BE602E" w:rsidP="00DC6907">
            <w:pPr>
              <w:ind w:left="360" w:hanging="360"/>
              <w:rPr>
                <w:b/>
                <w:sz w:val="22"/>
                <w:szCs w:val="22"/>
              </w:rPr>
            </w:pPr>
            <w:r w:rsidRPr="009539BA">
              <w:rPr>
                <w:b/>
                <w:sz w:val="22"/>
                <w:szCs w:val="22"/>
              </w:rPr>
              <w:t>1.2</w:t>
            </w:r>
            <w:r w:rsidR="00696A77" w:rsidRPr="009539BA">
              <w:rPr>
                <w:b/>
                <w:sz w:val="22"/>
                <w:szCs w:val="22"/>
              </w:rPr>
              <w:t xml:space="preserve">. </w:t>
            </w:r>
            <w:r w:rsidR="009539BA" w:rsidRPr="009539BA">
              <w:rPr>
                <w:b/>
                <w:sz w:val="22"/>
                <w:szCs w:val="22"/>
              </w:rPr>
              <w:t>u</w:t>
            </w:r>
            <w:r w:rsidRPr="009539BA">
              <w:rPr>
                <w:b/>
                <w:sz w:val="22"/>
                <w:szCs w:val="22"/>
              </w:rPr>
              <w:t>ždavinys</w:t>
            </w:r>
            <w:r w:rsidR="009539BA" w:rsidRPr="009539BA">
              <w:rPr>
                <w:b/>
                <w:sz w:val="22"/>
                <w:szCs w:val="22"/>
              </w:rPr>
              <w:t>:</w:t>
            </w:r>
            <w:r w:rsidRPr="009539BA">
              <w:rPr>
                <w:b/>
                <w:sz w:val="22"/>
                <w:szCs w:val="22"/>
              </w:rPr>
              <w:t xml:space="preserve"> Užtikrinti kompetencijų, reikalingų ateities ekonomikai, ugdymą</w:t>
            </w:r>
          </w:p>
        </w:tc>
      </w:tr>
      <w:tr w:rsidR="007F512E" w:rsidRPr="009539BA" w:rsidTr="009539BA">
        <w:trPr>
          <w:trHeight w:val="545"/>
        </w:trPr>
        <w:tc>
          <w:tcPr>
            <w:tcW w:w="4531" w:type="dxa"/>
            <w:vAlign w:val="center"/>
          </w:tcPr>
          <w:p w:rsidR="007F512E" w:rsidRPr="009539BA" w:rsidRDefault="007F512E" w:rsidP="007F512E">
            <w:pPr>
              <w:rPr>
                <w:sz w:val="22"/>
                <w:szCs w:val="22"/>
                <w:lang w:val="en-US"/>
              </w:rPr>
            </w:pPr>
            <w:r w:rsidRPr="009539BA">
              <w:rPr>
                <w:sz w:val="22"/>
                <w:szCs w:val="22"/>
              </w:rPr>
              <w:t>1.2.1. Skaitmeninio meno centro steigimas</w:t>
            </w:r>
          </w:p>
        </w:tc>
        <w:tc>
          <w:tcPr>
            <w:tcW w:w="1701" w:type="dxa"/>
            <w:vAlign w:val="center"/>
          </w:tcPr>
          <w:p w:rsidR="007F512E" w:rsidRPr="009539BA" w:rsidRDefault="00CA5DA9" w:rsidP="009539BA">
            <w:pPr>
              <w:jc w:val="center"/>
              <w:rPr>
                <w:sz w:val="22"/>
                <w:szCs w:val="22"/>
              </w:rPr>
            </w:pPr>
            <w:r w:rsidRPr="009539BA">
              <w:rPr>
                <w:sz w:val="22"/>
                <w:szCs w:val="22"/>
              </w:rPr>
              <w:t>R</w:t>
            </w:r>
            <w:r w:rsidR="007F512E" w:rsidRPr="009539BA">
              <w:rPr>
                <w:sz w:val="22"/>
                <w:szCs w:val="22"/>
              </w:rPr>
              <w:t>engiamas</w:t>
            </w:r>
          </w:p>
        </w:tc>
        <w:tc>
          <w:tcPr>
            <w:tcW w:w="1560" w:type="dxa"/>
            <w:vAlign w:val="center"/>
          </w:tcPr>
          <w:p w:rsidR="007F512E" w:rsidRPr="009539BA" w:rsidRDefault="007F512E" w:rsidP="007F512E">
            <w:pPr>
              <w:jc w:val="both"/>
              <w:rPr>
                <w:sz w:val="22"/>
                <w:szCs w:val="22"/>
              </w:rPr>
            </w:pPr>
          </w:p>
        </w:tc>
        <w:tc>
          <w:tcPr>
            <w:tcW w:w="1842" w:type="dxa"/>
            <w:vAlign w:val="center"/>
          </w:tcPr>
          <w:p w:rsidR="007F512E" w:rsidRPr="009539BA" w:rsidRDefault="00616599" w:rsidP="007F512E">
            <w:pPr>
              <w:jc w:val="center"/>
              <w:rPr>
                <w:sz w:val="22"/>
                <w:szCs w:val="22"/>
              </w:rPr>
            </w:pPr>
            <w:r w:rsidRPr="009539BA">
              <w:rPr>
                <w:sz w:val="22"/>
                <w:szCs w:val="22"/>
              </w:rPr>
              <w:t>Maža</w:t>
            </w:r>
          </w:p>
        </w:tc>
        <w:tc>
          <w:tcPr>
            <w:tcW w:w="4253" w:type="dxa"/>
          </w:tcPr>
          <w:p w:rsidR="007F512E" w:rsidRPr="009539BA" w:rsidRDefault="007F512E" w:rsidP="007F512E">
            <w:pPr>
              <w:jc w:val="both"/>
              <w:rPr>
                <w:sz w:val="22"/>
                <w:szCs w:val="22"/>
                <w:lang w:val="en-US"/>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1.2.2. Mokslo pažinimo centro steigimas</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1.2.3. Edukacinių erdvių sukūrimas Šalčininkuose</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1.2.4. Kūrybinių erdvių įrengimas Norviliškėse</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1.2.5. Edukacinių erdvių sukūrimas Širvintose</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1.2.6. Kūrybinių industrijų erdvių įrengimas Švenčionėliuose</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1.2.7. Edukacinių erdvių sukūrimas Siesikų dvaro sodybos Akademijos pastate</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1.2.8. Europos geografinio centro pritaikymas švietimo paslaugų teikimui</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1.2.9. Jungtinė veikos sutartis dėl švietimo paslaugų kokybės ir prieinamumo didinimo</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rPr>
            </w:pPr>
          </w:p>
        </w:tc>
        <w:tc>
          <w:tcPr>
            <w:tcW w:w="1842" w:type="dxa"/>
            <w:vAlign w:val="center"/>
          </w:tcPr>
          <w:p w:rsidR="00616599" w:rsidRPr="009539BA" w:rsidRDefault="00616599" w:rsidP="00616599">
            <w:pPr>
              <w:jc w:val="center"/>
              <w:rPr>
                <w:color w:val="000000" w:themeColor="text1"/>
                <w:sz w:val="22"/>
                <w:szCs w:val="22"/>
              </w:rPr>
            </w:pPr>
            <w:r w:rsidRPr="009539BA">
              <w:rPr>
                <w:sz w:val="22"/>
                <w:szCs w:val="22"/>
              </w:rPr>
              <w:t>Maža</w:t>
            </w:r>
          </w:p>
        </w:tc>
        <w:tc>
          <w:tcPr>
            <w:tcW w:w="4253" w:type="dxa"/>
            <w:vAlign w:val="center"/>
          </w:tcPr>
          <w:p w:rsidR="00616599" w:rsidRPr="009539BA" w:rsidRDefault="00616599" w:rsidP="00616599">
            <w:pPr>
              <w:jc w:val="both"/>
              <w:rPr>
                <w:color w:val="000000" w:themeColor="text1"/>
                <w:sz w:val="22"/>
                <w:szCs w:val="22"/>
              </w:rPr>
            </w:pPr>
          </w:p>
        </w:tc>
      </w:tr>
      <w:tr w:rsidR="00616599" w:rsidRPr="009539BA" w:rsidTr="009539BA">
        <w:trPr>
          <w:trHeight w:val="545"/>
        </w:trPr>
        <w:tc>
          <w:tcPr>
            <w:tcW w:w="4531" w:type="dxa"/>
            <w:vAlign w:val="center"/>
          </w:tcPr>
          <w:p w:rsidR="00616599" w:rsidRPr="009539BA" w:rsidRDefault="00616599" w:rsidP="00616599">
            <w:pPr>
              <w:rPr>
                <w:sz w:val="22"/>
                <w:szCs w:val="22"/>
                <w:lang w:val="en-US"/>
              </w:rPr>
            </w:pPr>
            <w:r w:rsidRPr="009539BA">
              <w:rPr>
                <w:sz w:val="22"/>
                <w:szCs w:val="22"/>
              </w:rPr>
              <w:t>1.2.10. Jungtinė veikos sutartis dėl kūrybinių industrijų vystymo</w:t>
            </w:r>
          </w:p>
        </w:tc>
        <w:tc>
          <w:tcPr>
            <w:tcW w:w="1701" w:type="dxa"/>
            <w:vAlign w:val="center"/>
          </w:tcPr>
          <w:p w:rsidR="00616599" w:rsidRPr="009539BA" w:rsidRDefault="00616599" w:rsidP="009539BA">
            <w:pPr>
              <w:jc w:val="center"/>
              <w:rPr>
                <w:sz w:val="22"/>
                <w:szCs w:val="22"/>
              </w:rPr>
            </w:pPr>
            <w:r w:rsidRPr="009539BA">
              <w:rPr>
                <w:sz w:val="22"/>
                <w:szCs w:val="22"/>
              </w:rPr>
              <w:t>Rengiamas</w:t>
            </w:r>
          </w:p>
        </w:tc>
        <w:tc>
          <w:tcPr>
            <w:tcW w:w="1560" w:type="dxa"/>
            <w:vAlign w:val="center"/>
          </w:tcPr>
          <w:p w:rsidR="00616599" w:rsidRPr="009539BA" w:rsidRDefault="00616599" w:rsidP="00616599">
            <w:pPr>
              <w:jc w:val="both"/>
              <w:rPr>
                <w:sz w:val="22"/>
                <w:szCs w:val="22"/>
                <w:highlight w:val="lightGray"/>
              </w:rPr>
            </w:pPr>
          </w:p>
        </w:tc>
        <w:tc>
          <w:tcPr>
            <w:tcW w:w="1842" w:type="dxa"/>
            <w:vAlign w:val="center"/>
          </w:tcPr>
          <w:p w:rsidR="00616599" w:rsidRPr="009539BA" w:rsidRDefault="00616599" w:rsidP="00616599">
            <w:pPr>
              <w:jc w:val="center"/>
              <w:rPr>
                <w:color w:val="000000" w:themeColor="text1"/>
                <w:sz w:val="22"/>
                <w:szCs w:val="22"/>
              </w:rPr>
            </w:pPr>
            <w:r w:rsidRPr="009539BA">
              <w:rPr>
                <w:sz w:val="22"/>
                <w:szCs w:val="22"/>
              </w:rPr>
              <w:t>Maža</w:t>
            </w:r>
          </w:p>
        </w:tc>
        <w:tc>
          <w:tcPr>
            <w:tcW w:w="4253" w:type="dxa"/>
            <w:vAlign w:val="center"/>
          </w:tcPr>
          <w:p w:rsidR="00616599" w:rsidRPr="009539BA" w:rsidRDefault="00616599" w:rsidP="00616599">
            <w:pPr>
              <w:jc w:val="both"/>
              <w:rPr>
                <w:color w:val="000000" w:themeColor="text1"/>
                <w:sz w:val="22"/>
                <w:szCs w:val="22"/>
              </w:rPr>
            </w:pPr>
          </w:p>
        </w:tc>
      </w:tr>
      <w:tr w:rsidR="00E12503" w:rsidRPr="009539BA" w:rsidTr="00F650A8">
        <w:trPr>
          <w:trHeight w:val="468"/>
        </w:trPr>
        <w:tc>
          <w:tcPr>
            <w:tcW w:w="13887" w:type="dxa"/>
            <w:gridSpan w:val="5"/>
            <w:shd w:val="clear" w:color="auto" w:fill="D9D9D9" w:themeFill="background1" w:themeFillShade="D9"/>
            <w:vAlign w:val="center"/>
          </w:tcPr>
          <w:p w:rsidR="00E12503" w:rsidRPr="009539BA" w:rsidRDefault="00E12503" w:rsidP="00F650A8">
            <w:pPr>
              <w:ind w:left="360" w:hanging="360"/>
              <w:rPr>
                <w:b/>
                <w:sz w:val="22"/>
                <w:szCs w:val="22"/>
              </w:rPr>
            </w:pPr>
            <w:r w:rsidRPr="009539BA">
              <w:rPr>
                <w:b/>
                <w:sz w:val="22"/>
                <w:szCs w:val="22"/>
                <w:highlight w:val="lightGray"/>
              </w:rPr>
              <w:t>1.3. uždavinys: Paskatinti rūšiuojamąjį atliekų surinkimą</w:t>
            </w:r>
          </w:p>
        </w:tc>
      </w:tr>
      <w:tr w:rsidR="00CA5DA9" w:rsidRPr="009539BA" w:rsidTr="009539BA">
        <w:trPr>
          <w:trHeight w:val="545"/>
        </w:trPr>
        <w:tc>
          <w:tcPr>
            <w:tcW w:w="4531" w:type="dxa"/>
          </w:tcPr>
          <w:p w:rsidR="00CA5DA9" w:rsidRPr="009539BA" w:rsidRDefault="00CA5DA9" w:rsidP="00CA5DA9">
            <w:pPr>
              <w:rPr>
                <w:sz w:val="22"/>
                <w:szCs w:val="22"/>
                <w:lang w:val="en-US"/>
              </w:rPr>
            </w:pPr>
            <w:r w:rsidRPr="009539BA">
              <w:rPr>
                <w:sz w:val="22"/>
                <w:szCs w:val="22"/>
              </w:rPr>
              <w:t>1.3.1. Didelių gabaritų atliekų surinkimo aikštelės įrengimas Švenčionių rajono savivaldybėje</w:t>
            </w:r>
          </w:p>
        </w:tc>
        <w:tc>
          <w:tcPr>
            <w:tcW w:w="1701" w:type="dxa"/>
            <w:vAlign w:val="center"/>
          </w:tcPr>
          <w:p w:rsidR="00CA5DA9" w:rsidRPr="009539BA" w:rsidRDefault="00CA5DA9" w:rsidP="00BE602E">
            <w:pPr>
              <w:jc w:val="center"/>
              <w:rPr>
                <w:sz w:val="22"/>
                <w:szCs w:val="22"/>
              </w:rPr>
            </w:pPr>
            <w:r w:rsidRPr="009539BA">
              <w:rPr>
                <w:sz w:val="22"/>
                <w:szCs w:val="22"/>
              </w:rPr>
              <w:t>Rengiamas</w:t>
            </w:r>
          </w:p>
        </w:tc>
        <w:tc>
          <w:tcPr>
            <w:tcW w:w="1560" w:type="dxa"/>
            <w:vAlign w:val="center"/>
          </w:tcPr>
          <w:p w:rsidR="00CA5DA9" w:rsidRPr="009539BA" w:rsidRDefault="00CA5DA9" w:rsidP="00BE602E">
            <w:pPr>
              <w:jc w:val="center"/>
              <w:rPr>
                <w:sz w:val="22"/>
                <w:szCs w:val="22"/>
              </w:rPr>
            </w:pPr>
          </w:p>
        </w:tc>
        <w:tc>
          <w:tcPr>
            <w:tcW w:w="1842" w:type="dxa"/>
            <w:vAlign w:val="center"/>
          </w:tcPr>
          <w:p w:rsidR="00CA5DA9" w:rsidRPr="009539BA" w:rsidRDefault="00616599" w:rsidP="00BE602E">
            <w:pPr>
              <w:jc w:val="center"/>
              <w:rPr>
                <w:sz w:val="22"/>
                <w:szCs w:val="22"/>
              </w:rPr>
            </w:pPr>
            <w:r w:rsidRPr="009539BA">
              <w:rPr>
                <w:sz w:val="22"/>
                <w:szCs w:val="22"/>
              </w:rPr>
              <w:t>Maža</w:t>
            </w:r>
          </w:p>
        </w:tc>
        <w:tc>
          <w:tcPr>
            <w:tcW w:w="4253" w:type="dxa"/>
          </w:tcPr>
          <w:p w:rsidR="00CA5DA9" w:rsidRPr="009539BA" w:rsidRDefault="00CA5DA9" w:rsidP="00CA5DA9">
            <w:pPr>
              <w:jc w:val="both"/>
              <w:rPr>
                <w:sz w:val="22"/>
                <w:szCs w:val="22"/>
              </w:rPr>
            </w:pPr>
          </w:p>
        </w:tc>
      </w:tr>
      <w:tr w:rsidR="00CA5DA9" w:rsidRPr="009539BA" w:rsidTr="009539BA">
        <w:trPr>
          <w:trHeight w:val="545"/>
        </w:trPr>
        <w:tc>
          <w:tcPr>
            <w:tcW w:w="4531" w:type="dxa"/>
          </w:tcPr>
          <w:p w:rsidR="00CA5DA9" w:rsidRPr="009539BA" w:rsidRDefault="00CA5DA9" w:rsidP="00CA5DA9">
            <w:pPr>
              <w:rPr>
                <w:sz w:val="22"/>
                <w:szCs w:val="22"/>
                <w:lang w:val="en-US"/>
              </w:rPr>
            </w:pPr>
            <w:r w:rsidRPr="009539BA">
              <w:rPr>
                <w:sz w:val="22"/>
                <w:szCs w:val="22"/>
              </w:rPr>
              <w:t>1.3.2. Didelių gabaritų atliekų surinkimo aikštelių įrengimas Ukmergės rajono savivaldybėje</w:t>
            </w:r>
          </w:p>
        </w:tc>
        <w:tc>
          <w:tcPr>
            <w:tcW w:w="1701" w:type="dxa"/>
            <w:vAlign w:val="center"/>
          </w:tcPr>
          <w:p w:rsidR="00CA5DA9" w:rsidRPr="009539BA" w:rsidRDefault="00C25FAD" w:rsidP="00BE602E">
            <w:pPr>
              <w:jc w:val="center"/>
              <w:rPr>
                <w:sz w:val="22"/>
                <w:szCs w:val="22"/>
              </w:rPr>
            </w:pPr>
            <w:r>
              <w:rPr>
                <w:sz w:val="22"/>
                <w:szCs w:val="22"/>
              </w:rPr>
              <w:t>Įgyvendinamas</w:t>
            </w:r>
          </w:p>
        </w:tc>
        <w:tc>
          <w:tcPr>
            <w:tcW w:w="1560" w:type="dxa"/>
            <w:vAlign w:val="center"/>
          </w:tcPr>
          <w:p w:rsidR="00CA5DA9" w:rsidRPr="009539BA" w:rsidRDefault="00CA5DA9" w:rsidP="00BE602E">
            <w:pPr>
              <w:jc w:val="center"/>
              <w:rPr>
                <w:sz w:val="22"/>
                <w:szCs w:val="22"/>
              </w:rPr>
            </w:pPr>
            <w:r w:rsidRPr="009539BA">
              <w:rPr>
                <w:color w:val="000000"/>
                <w:sz w:val="22"/>
                <w:szCs w:val="22"/>
              </w:rPr>
              <w:t>20-219-P-0001</w:t>
            </w:r>
          </w:p>
        </w:tc>
        <w:tc>
          <w:tcPr>
            <w:tcW w:w="1842" w:type="dxa"/>
            <w:vAlign w:val="center"/>
          </w:tcPr>
          <w:p w:rsidR="00CA5DA9" w:rsidRPr="009539BA" w:rsidRDefault="00616599" w:rsidP="00BE602E">
            <w:pPr>
              <w:jc w:val="center"/>
              <w:rPr>
                <w:sz w:val="22"/>
                <w:szCs w:val="22"/>
              </w:rPr>
            </w:pPr>
            <w:r w:rsidRPr="009539BA">
              <w:rPr>
                <w:sz w:val="22"/>
                <w:szCs w:val="22"/>
                <w:lang w:val="en-US"/>
              </w:rPr>
              <w:t>N</w:t>
            </w:r>
            <w:r w:rsidRPr="009539BA">
              <w:rPr>
                <w:sz w:val="22"/>
                <w:szCs w:val="22"/>
              </w:rPr>
              <w:t>ėra</w:t>
            </w:r>
          </w:p>
        </w:tc>
        <w:tc>
          <w:tcPr>
            <w:tcW w:w="4253" w:type="dxa"/>
          </w:tcPr>
          <w:p w:rsidR="00CA5DA9" w:rsidRPr="009539BA" w:rsidRDefault="00CA5DA9" w:rsidP="00CA5DA9">
            <w:pPr>
              <w:jc w:val="both"/>
              <w:rPr>
                <w:sz w:val="22"/>
                <w:szCs w:val="22"/>
              </w:rPr>
            </w:pPr>
          </w:p>
        </w:tc>
      </w:tr>
      <w:tr w:rsidR="00616599" w:rsidRPr="009539BA" w:rsidTr="009539BA">
        <w:trPr>
          <w:trHeight w:val="545"/>
        </w:trPr>
        <w:tc>
          <w:tcPr>
            <w:tcW w:w="4531" w:type="dxa"/>
          </w:tcPr>
          <w:p w:rsidR="00616599" w:rsidRPr="009539BA" w:rsidRDefault="00616599" w:rsidP="00616599">
            <w:pPr>
              <w:rPr>
                <w:sz w:val="22"/>
                <w:szCs w:val="22"/>
                <w:lang w:val="en-US"/>
              </w:rPr>
            </w:pPr>
            <w:r w:rsidRPr="009539BA">
              <w:rPr>
                <w:sz w:val="22"/>
                <w:szCs w:val="22"/>
              </w:rPr>
              <w:t>1.3.3. Didelių gabaritų atliekų surinkimo aikštelių įrengimas Vilniaus rajono savivaldybėje</w:t>
            </w:r>
          </w:p>
        </w:tc>
        <w:tc>
          <w:tcPr>
            <w:tcW w:w="1701" w:type="dxa"/>
            <w:vAlign w:val="center"/>
          </w:tcPr>
          <w:p w:rsidR="00616599" w:rsidRPr="009539BA" w:rsidRDefault="00616599" w:rsidP="00BE602E">
            <w:pPr>
              <w:jc w:val="center"/>
              <w:rPr>
                <w:sz w:val="22"/>
                <w:szCs w:val="22"/>
              </w:rPr>
            </w:pPr>
            <w:r w:rsidRPr="009539BA">
              <w:rPr>
                <w:sz w:val="22"/>
                <w:szCs w:val="22"/>
              </w:rPr>
              <w:t>Rengiamas</w:t>
            </w:r>
          </w:p>
        </w:tc>
        <w:tc>
          <w:tcPr>
            <w:tcW w:w="1560" w:type="dxa"/>
            <w:vAlign w:val="center"/>
          </w:tcPr>
          <w:p w:rsidR="00616599" w:rsidRPr="009539BA" w:rsidRDefault="00616599" w:rsidP="00BE602E">
            <w:pPr>
              <w:jc w:val="center"/>
              <w:rPr>
                <w:sz w:val="22"/>
                <w:szCs w:val="22"/>
              </w:rPr>
            </w:pPr>
          </w:p>
        </w:tc>
        <w:tc>
          <w:tcPr>
            <w:tcW w:w="1842" w:type="dxa"/>
            <w:vAlign w:val="center"/>
          </w:tcPr>
          <w:p w:rsidR="00616599" w:rsidRPr="009539BA" w:rsidRDefault="00616599" w:rsidP="00BE602E">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616599" w:rsidRPr="009539BA" w:rsidTr="009539BA">
        <w:trPr>
          <w:trHeight w:val="545"/>
        </w:trPr>
        <w:tc>
          <w:tcPr>
            <w:tcW w:w="4531" w:type="dxa"/>
          </w:tcPr>
          <w:p w:rsidR="00616599" w:rsidRPr="009539BA" w:rsidRDefault="00616599" w:rsidP="00616599">
            <w:pPr>
              <w:rPr>
                <w:sz w:val="22"/>
                <w:szCs w:val="22"/>
                <w:lang w:val="en-US"/>
              </w:rPr>
            </w:pPr>
            <w:r w:rsidRPr="009539BA">
              <w:rPr>
                <w:sz w:val="22"/>
                <w:szCs w:val="22"/>
              </w:rPr>
              <w:t>1.3.4. Didelių gabaritų atliekų surinkimo aikštelės Rūdiškių mieste įrengimas</w:t>
            </w:r>
          </w:p>
        </w:tc>
        <w:tc>
          <w:tcPr>
            <w:tcW w:w="1701" w:type="dxa"/>
            <w:vAlign w:val="center"/>
          </w:tcPr>
          <w:p w:rsidR="00616599" w:rsidRPr="009539BA" w:rsidRDefault="00616599" w:rsidP="00BE602E">
            <w:pPr>
              <w:jc w:val="center"/>
              <w:rPr>
                <w:sz w:val="22"/>
                <w:szCs w:val="22"/>
              </w:rPr>
            </w:pPr>
            <w:r w:rsidRPr="009539BA">
              <w:rPr>
                <w:sz w:val="22"/>
                <w:szCs w:val="22"/>
              </w:rPr>
              <w:t>Rengiamas</w:t>
            </w:r>
          </w:p>
        </w:tc>
        <w:tc>
          <w:tcPr>
            <w:tcW w:w="1560" w:type="dxa"/>
            <w:vAlign w:val="center"/>
          </w:tcPr>
          <w:p w:rsidR="00616599" w:rsidRPr="009539BA" w:rsidRDefault="00616599" w:rsidP="00BE602E">
            <w:pPr>
              <w:jc w:val="center"/>
              <w:rPr>
                <w:sz w:val="22"/>
                <w:szCs w:val="22"/>
              </w:rPr>
            </w:pPr>
          </w:p>
        </w:tc>
        <w:tc>
          <w:tcPr>
            <w:tcW w:w="1842" w:type="dxa"/>
            <w:vAlign w:val="center"/>
          </w:tcPr>
          <w:p w:rsidR="00616599" w:rsidRPr="009539BA" w:rsidRDefault="00616599" w:rsidP="00BE602E">
            <w:pPr>
              <w:jc w:val="center"/>
              <w:rPr>
                <w:sz w:val="22"/>
                <w:szCs w:val="22"/>
              </w:rPr>
            </w:pPr>
            <w:r w:rsidRPr="009539BA">
              <w:rPr>
                <w:sz w:val="22"/>
                <w:szCs w:val="22"/>
              </w:rPr>
              <w:t>Maža</w:t>
            </w:r>
          </w:p>
        </w:tc>
        <w:tc>
          <w:tcPr>
            <w:tcW w:w="4253" w:type="dxa"/>
          </w:tcPr>
          <w:p w:rsidR="00616599" w:rsidRPr="009539BA" w:rsidRDefault="00616599" w:rsidP="00616599">
            <w:pPr>
              <w:jc w:val="both"/>
              <w:rPr>
                <w:sz w:val="22"/>
                <w:szCs w:val="22"/>
              </w:rPr>
            </w:pPr>
          </w:p>
        </w:tc>
      </w:tr>
      <w:tr w:rsidR="007F512E" w:rsidRPr="009539BA" w:rsidTr="009539BA">
        <w:trPr>
          <w:trHeight w:val="545"/>
        </w:trPr>
        <w:tc>
          <w:tcPr>
            <w:tcW w:w="4531" w:type="dxa"/>
          </w:tcPr>
          <w:p w:rsidR="007F512E" w:rsidRPr="009539BA" w:rsidRDefault="007F512E" w:rsidP="007F512E">
            <w:pPr>
              <w:rPr>
                <w:sz w:val="22"/>
                <w:szCs w:val="22"/>
                <w:lang w:val="en-US"/>
              </w:rPr>
            </w:pPr>
            <w:r w:rsidRPr="009539BA">
              <w:rPr>
                <w:sz w:val="22"/>
                <w:szCs w:val="22"/>
              </w:rPr>
              <w:t>1.3.5. Didelių gabaritų atliekų surinkimo aikštelės įrengimas Širvintų rajono savivaldybėje</w:t>
            </w:r>
          </w:p>
        </w:tc>
        <w:tc>
          <w:tcPr>
            <w:tcW w:w="1701" w:type="dxa"/>
            <w:vAlign w:val="center"/>
          </w:tcPr>
          <w:p w:rsidR="007F512E" w:rsidRPr="009539BA" w:rsidRDefault="00C25FAD" w:rsidP="00BE602E">
            <w:pPr>
              <w:jc w:val="center"/>
              <w:rPr>
                <w:sz w:val="22"/>
                <w:szCs w:val="22"/>
              </w:rPr>
            </w:pPr>
            <w:r>
              <w:rPr>
                <w:sz w:val="22"/>
                <w:szCs w:val="22"/>
              </w:rPr>
              <w:t>Įgyvendinamas</w:t>
            </w:r>
          </w:p>
        </w:tc>
        <w:tc>
          <w:tcPr>
            <w:tcW w:w="1560" w:type="dxa"/>
            <w:vAlign w:val="center"/>
          </w:tcPr>
          <w:p w:rsidR="007F512E" w:rsidRPr="009539BA" w:rsidRDefault="007F512E" w:rsidP="00BE602E">
            <w:pPr>
              <w:jc w:val="center"/>
              <w:rPr>
                <w:sz w:val="22"/>
                <w:szCs w:val="22"/>
              </w:rPr>
            </w:pPr>
            <w:r w:rsidRPr="009539BA">
              <w:rPr>
                <w:color w:val="000000"/>
                <w:sz w:val="22"/>
                <w:szCs w:val="22"/>
              </w:rPr>
              <w:t>20-221-P-0001</w:t>
            </w:r>
          </w:p>
        </w:tc>
        <w:tc>
          <w:tcPr>
            <w:tcW w:w="1842" w:type="dxa"/>
            <w:vAlign w:val="center"/>
          </w:tcPr>
          <w:p w:rsidR="007F512E" w:rsidRPr="009539BA" w:rsidRDefault="00616599" w:rsidP="00BE602E">
            <w:pPr>
              <w:jc w:val="center"/>
              <w:rPr>
                <w:sz w:val="22"/>
                <w:szCs w:val="22"/>
              </w:rPr>
            </w:pPr>
            <w:r w:rsidRPr="009539BA">
              <w:rPr>
                <w:sz w:val="22"/>
                <w:szCs w:val="22"/>
                <w:lang w:val="en-US"/>
              </w:rPr>
              <w:t>N</w:t>
            </w:r>
            <w:r w:rsidRPr="009539BA">
              <w:rPr>
                <w:sz w:val="22"/>
                <w:szCs w:val="22"/>
              </w:rPr>
              <w:t>ėra</w:t>
            </w:r>
          </w:p>
        </w:tc>
        <w:tc>
          <w:tcPr>
            <w:tcW w:w="4253" w:type="dxa"/>
          </w:tcPr>
          <w:p w:rsidR="007F512E" w:rsidRPr="009539BA" w:rsidRDefault="007F512E" w:rsidP="007F512E">
            <w:pPr>
              <w:jc w:val="both"/>
              <w:rPr>
                <w:sz w:val="22"/>
                <w:szCs w:val="22"/>
              </w:rPr>
            </w:pPr>
          </w:p>
        </w:tc>
      </w:tr>
    </w:tbl>
    <w:p w:rsidR="00D634E8" w:rsidRPr="009539BA" w:rsidRDefault="00D634E8" w:rsidP="009D0281">
      <w:pPr>
        <w:rPr>
          <w:i/>
          <w:color w:val="808080"/>
          <w:sz w:val="22"/>
          <w:szCs w:val="22"/>
        </w:rPr>
      </w:pPr>
    </w:p>
    <w:sectPr w:rsidR="00D634E8" w:rsidRPr="009539BA">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508DE" w:rsidRDefault="007508DE">
      <w:pPr>
        <w:rPr>
          <w:sz w:val="22"/>
          <w:szCs w:val="22"/>
        </w:rPr>
      </w:pPr>
      <w:r>
        <w:rPr>
          <w:sz w:val="22"/>
          <w:szCs w:val="22"/>
        </w:rPr>
        <w:separator/>
      </w:r>
    </w:p>
  </w:endnote>
  <w:endnote w:type="continuationSeparator" w:id="0">
    <w:p w:rsidR="007508DE" w:rsidRDefault="007508DE">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4E8" w:rsidRDefault="00D634E8">
    <w:pPr>
      <w:tabs>
        <w:tab w:val="center" w:pos="4513"/>
        <w:tab w:val="right" w:pos="9026"/>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4E8" w:rsidRDefault="00D634E8">
    <w:pPr>
      <w:tabs>
        <w:tab w:val="center" w:pos="4513"/>
        <w:tab w:val="right" w:pos="9026"/>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4E8" w:rsidRDefault="00D634E8">
    <w:pPr>
      <w:tabs>
        <w:tab w:val="center" w:pos="4513"/>
        <w:tab w:val="right" w:pos="9026"/>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508DE" w:rsidRDefault="007508DE">
      <w:pPr>
        <w:rPr>
          <w:sz w:val="22"/>
          <w:szCs w:val="22"/>
        </w:rPr>
      </w:pPr>
      <w:r>
        <w:rPr>
          <w:sz w:val="22"/>
          <w:szCs w:val="22"/>
        </w:rPr>
        <w:separator/>
      </w:r>
    </w:p>
  </w:footnote>
  <w:footnote w:type="continuationSeparator" w:id="0">
    <w:p w:rsidR="007508DE" w:rsidRDefault="007508DE">
      <w:pPr>
        <w:rPr>
          <w:sz w:val="22"/>
          <w:szCs w:val="22"/>
        </w:rPr>
      </w:pPr>
      <w:r>
        <w:rPr>
          <w:sz w:val="22"/>
          <w:szCs w:val="22"/>
        </w:rPr>
        <w:continuationSeparator/>
      </w:r>
    </w:p>
  </w:footnote>
  <w:footnote w:id="1">
    <w:p w:rsidR="00115F92" w:rsidRPr="0022643B" w:rsidRDefault="00115F92">
      <w:pPr>
        <w:pStyle w:val="Puslapioinaostekstas"/>
      </w:pPr>
      <w:r>
        <w:rPr>
          <w:rStyle w:val="Puslapioinaosnuoroda"/>
        </w:rPr>
        <w:footnoteRef/>
      </w:r>
      <w:r>
        <w:t xml:space="preserve"> </w:t>
      </w:r>
      <w:r w:rsidR="00F45A42" w:rsidRPr="0022643B">
        <w:rPr>
          <w:lang w:eastAsia="lt-LT"/>
        </w:rPr>
        <w:t xml:space="preserve">Pateikta el. paštu </w:t>
      </w:r>
      <w:r w:rsidR="00F45A42" w:rsidRPr="0022643B">
        <w:rPr>
          <w:u w:val="single"/>
          <w:lang w:eastAsia="lt-LT"/>
        </w:rPr>
        <w:t>natalija.valaviciene</w:t>
      </w:r>
      <w:hyperlink r:id="rId1" w:history="1">
        <w:r w:rsidR="00F45A42" w:rsidRPr="0022643B">
          <w:rPr>
            <w:rStyle w:val="Hipersaitas"/>
            <w:color w:val="auto"/>
            <w:lang w:eastAsia="lt-LT"/>
          </w:rPr>
          <w:t>@vrm.lt</w:t>
        </w:r>
      </w:hyperlink>
      <w:r w:rsidR="00F45A42" w:rsidRPr="0022643B">
        <w:rPr>
          <w:lang w:eastAsia="lt-LT"/>
        </w:rPr>
        <w:t xml:space="preserve"> 2024 m. sausio 13 d. „RPP poveikio rodikliai</w:t>
      </w:r>
      <w:r w:rsidR="004B622B" w:rsidRPr="0022643B">
        <w:rPr>
          <w:lang w:eastAsia="lt-LT"/>
        </w:rPr>
        <w:t>“</w:t>
      </w:r>
      <w:r w:rsidR="00233D39" w:rsidRPr="0022643B">
        <w:rPr>
          <w:lang w:eastAsia="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4E8" w:rsidRDefault="00D634E8">
    <w:pPr>
      <w:tabs>
        <w:tab w:val="center" w:pos="4513"/>
        <w:tab w:val="right" w:pos="9026"/>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4E8" w:rsidRDefault="00F37FDA">
    <w:pPr>
      <w:tabs>
        <w:tab w:val="center" w:pos="4513"/>
        <w:tab w:val="right" w:pos="9026"/>
      </w:tabs>
      <w:jc w:val="center"/>
      <w:rPr>
        <w:szCs w:val="24"/>
      </w:rPr>
    </w:pPr>
    <w:r>
      <w:rPr>
        <w:szCs w:val="24"/>
      </w:rPr>
      <w:fldChar w:fldCharType="begin"/>
    </w:r>
    <w:r>
      <w:rPr>
        <w:szCs w:val="24"/>
      </w:rPr>
      <w:instrText>PAGE   \* MERGEFORMAT</w:instrText>
    </w:r>
    <w:r>
      <w:rPr>
        <w:szCs w:val="24"/>
      </w:rPr>
      <w:fldChar w:fldCharType="separate"/>
    </w:r>
    <w:r w:rsidR="00413B8D">
      <w:rPr>
        <w:noProof/>
        <w:szCs w:val="24"/>
      </w:rPr>
      <w:t>4</w:t>
    </w:r>
    <w:r>
      <w:rPr>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34E8" w:rsidRDefault="00D634E8">
    <w:pPr>
      <w:tabs>
        <w:tab w:val="center" w:pos="4513"/>
        <w:tab w:val="right" w:pos="9026"/>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1506"/>
    <w:multiLevelType w:val="hybridMultilevel"/>
    <w:tmpl w:val="5C72ECCA"/>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B222A20"/>
    <w:multiLevelType w:val="multilevel"/>
    <w:tmpl w:val="6BAE74F6"/>
    <w:lvl w:ilvl="0">
      <w:start w:val="1"/>
      <w:numFmt w:val="decimal"/>
      <w:lvlText w:val="%1."/>
      <w:lvlJc w:val="left"/>
      <w:pPr>
        <w:ind w:left="360" w:hanging="360"/>
      </w:pPr>
      <w:rPr>
        <w:rFonts w:hint="default"/>
        <w:b/>
        <w:u w:val="none"/>
      </w:rPr>
    </w:lvl>
    <w:lvl w:ilvl="1">
      <w:start w:val="1"/>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 w15:restartNumberingAfterBreak="0">
    <w:nsid w:val="31554CFF"/>
    <w:multiLevelType w:val="multilevel"/>
    <w:tmpl w:val="50D0D650"/>
    <w:lvl w:ilvl="0">
      <w:start w:val="1"/>
      <w:numFmt w:val="decimal"/>
      <w:lvlText w:val="%1."/>
      <w:lvlJc w:val="left"/>
      <w:pPr>
        <w:ind w:left="468" w:hanging="468"/>
      </w:pPr>
      <w:rPr>
        <w:rFonts w:hint="default"/>
        <w:sz w:val="20"/>
      </w:rPr>
    </w:lvl>
    <w:lvl w:ilvl="1">
      <w:start w:val="1"/>
      <w:numFmt w:val="decimal"/>
      <w:lvlText w:val="%1.%2."/>
      <w:lvlJc w:val="left"/>
      <w:pPr>
        <w:ind w:left="468" w:hanging="468"/>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50FD4A9F"/>
    <w:multiLevelType w:val="hybridMultilevel"/>
    <w:tmpl w:val="F1608B52"/>
    <w:lvl w:ilvl="0" w:tplc="28D02C84">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2820243"/>
    <w:multiLevelType w:val="multilevel"/>
    <w:tmpl w:val="CBDA2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C251A9"/>
    <w:multiLevelType w:val="multilevel"/>
    <w:tmpl w:val="145EBCEC"/>
    <w:lvl w:ilvl="0">
      <w:start w:val="1"/>
      <w:numFmt w:val="decimal"/>
      <w:lvlText w:val="%1."/>
      <w:lvlJc w:val="left"/>
      <w:pPr>
        <w:ind w:left="360" w:hanging="360"/>
      </w:pPr>
      <w:rPr>
        <w:rFonts w:hint="default"/>
        <w:b/>
        <w:u w:val="none"/>
      </w:rPr>
    </w:lvl>
    <w:lvl w:ilvl="1">
      <w:start w:val="2"/>
      <w:numFmt w:val="decimal"/>
      <w:lvlText w:val="%1.%2."/>
      <w:lvlJc w:val="left"/>
      <w:pPr>
        <w:ind w:left="720" w:hanging="360"/>
      </w:pPr>
      <w:rPr>
        <w:rFonts w:hint="default"/>
        <w:b/>
        <w:u w:val="none"/>
      </w:rPr>
    </w:lvl>
    <w:lvl w:ilvl="2">
      <w:start w:val="1"/>
      <w:numFmt w:val="upperLetter"/>
      <w:lvlText w:val="%1.%2.%3."/>
      <w:lvlJc w:val="left"/>
      <w:pPr>
        <w:ind w:left="1440" w:hanging="720"/>
      </w:pPr>
      <w:rPr>
        <w:rFonts w:hint="default"/>
        <w:b/>
        <w:u w:val="none"/>
      </w:rPr>
    </w:lvl>
    <w:lvl w:ilvl="3">
      <w:start w:val="1"/>
      <w:numFmt w:val="decimal"/>
      <w:lvlText w:val="%1.%2.%3.%4."/>
      <w:lvlJc w:val="left"/>
      <w:pPr>
        <w:ind w:left="1800" w:hanging="720"/>
      </w:pPr>
      <w:rPr>
        <w:rFonts w:hint="default"/>
        <w:b/>
        <w:u w:val="none"/>
      </w:rPr>
    </w:lvl>
    <w:lvl w:ilvl="4">
      <w:start w:val="1"/>
      <w:numFmt w:val="decimal"/>
      <w:lvlText w:val="%1.%2.%3.%4.%5."/>
      <w:lvlJc w:val="left"/>
      <w:pPr>
        <w:ind w:left="2520" w:hanging="1080"/>
      </w:pPr>
      <w:rPr>
        <w:rFonts w:hint="default"/>
        <w:b/>
        <w:u w:val="none"/>
      </w:rPr>
    </w:lvl>
    <w:lvl w:ilvl="5">
      <w:start w:val="1"/>
      <w:numFmt w:val="decimal"/>
      <w:lvlText w:val="%1.%2.%3.%4.%5.%6."/>
      <w:lvlJc w:val="left"/>
      <w:pPr>
        <w:ind w:left="2880" w:hanging="1080"/>
      </w:pPr>
      <w:rPr>
        <w:rFonts w:hint="default"/>
        <w:b/>
        <w:u w:val="none"/>
      </w:rPr>
    </w:lvl>
    <w:lvl w:ilvl="6">
      <w:start w:val="1"/>
      <w:numFmt w:val="decimal"/>
      <w:lvlText w:val="%1.%2.%3.%4.%5.%6.%7."/>
      <w:lvlJc w:val="left"/>
      <w:pPr>
        <w:ind w:left="3600" w:hanging="1440"/>
      </w:pPr>
      <w:rPr>
        <w:rFonts w:hint="default"/>
        <w:b/>
        <w:u w:val="none"/>
      </w:rPr>
    </w:lvl>
    <w:lvl w:ilvl="7">
      <w:start w:val="1"/>
      <w:numFmt w:val="decimal"/>
      <w:lvlText w:val="%1.%2.%3.%4.%5.%6.%7.%8."/>
      <w:lvlJc w:val="left"/>
      <w:pPr>
        <w:ind w:left="3960" w:hanging="1440"/>
      </w:pPr>
      <w:rPr>
        <w:rFonts w:hint="default"/>
        <w:b/>
        <w:u w:val="none"/>
      </w:rPr>
    </w:lvl>
    <w:lvl w:ilvl="8">
      <w:start w:val="1"/>
      <w:numFmt w:val="decimal"/>
      <w:lvlText w:val="%1.%2.%3.%4.%5.%6.%7.%8.%9."/>
      <w:lvlJc w:val="left"/>
      <w:pPr>
        <w:ind w:left="4680" w:hanging="1800"/>
      </w:pPr>
      <w:rPr>
        <w:rFonts w:hint="default"/>
        <w:b/>
        <w:u w:val="none"/>
      </w:rPr>
    </w:lvl>
  </w:abstractNum>
  <w:abstractNum w:abstractNumId="6" w15:restartNumberingAfterBreak="0">
    <w:nsid w:val="6BA32A33"/>
    <w:multiLevelType w:val="hybridMultilevel"/>
    <w:tmpl w:val="F622FFFC"/>
    <w:lvl w:ilvl="0" w:tplc="0427000F">
      <w:start w:val="1"/>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34276704">
    <w:abstractNumId w:val="2"/>
  </w:num>
  <w:num w:numId="2" w16cid:durableId="1378629785">
    <w:abstractNumId w:val="1"/>
  </w:num>
  <w:num w:numId="3" w16cid:durableId="1714889547">
    <w:abstractNumId w:val="0"/>
  </w:num>
  <w:num w:numId="4" w16cid:durableId="35395160">
    <w:abstractNumId w:val="5"/>
  </w:num>
  <w:num w:numId="5" w16cid:durableId="2104955149">
    <w:abstractNumId w:val="3"/>
  </w:num>
  <w:num w:numId="6" w16cid:durableId="1781366406">
    <w:abstractNumId w:val="4"/>
  </w:num>
  <w:num w:numId="7" w16cid:durableId="21223372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uFwAF4y9ITW2wxgTDsjoPO1jdeZc8mYZofOIUf7dpSDa+d6CR6Ep69mZahRjcdTcDQXV7aBZ4CgJsSml2YhaOA==" w:salt="4CshJiMoDLMmvCy2Do1m1g=="/>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B33"/>
    <w:rsid w:val="000108FA"/>
    <w:rsid w:val="0002279C"/>
    <w:rsid w:val="00022EB9"/>
    <w:rsid w:val="000322A7"/>
    <w:rsid w:val="00043F73"/>
    <w:rsid w:val="0004557A"/>
    <w:rsid w:val="00055B5A"/>
    <w:rsid w:val="00055DCB"/>
    <w:rsid w:val="00055F63"/>
    <w:rsid w:val="00060423"/>
    <w:rsid w:val="000620C6"/>
    <w:rsid w:val="00062829"/>
    <w:rsid w:val="0006494D"/>
    <w:rsid w:val="000721E2"/>
    <w:rsid w:val="000851CB"/>
    <w:rsid w:val="00086055"/>
    <w:rsid w:val="00090EAD"/>
    <w:rsid w:val="000974E9"/>
    <w:rsid w:val="000A4DA2"/>
    <w:rsid w:val="000A594F"/>
    <w:rsid w:val="000A729A"/>
    <w:rsid w:val="000B362D"/>
    <w:rsid w:val="000B597F"/>
    <w:rsid w:val="000B751F"/>
    <w:rsid w:val="000C2133"/>
    <w:rsid w:val="000C7BEB"/>
    <w:rsid w:val="000E25E0"/>
    <w:rsid w:val="000F74EA"/>
    <w:rsid w:val="000F7AB8"/>
    <w:rsid w:val="00112B66"/>
    <w:rsid w:val="00115930"/>
    <w:rsid w:val="00115F92"/>
    <w:rsid w:val="00117E12"/>
    <w:rsid w:val="0012003C"/>
    <w:rsid w:val="00120E15"/>
    <w:rsid w:val="001215A8"/>
    <w:rsid w:val="001235BE"/>
    <w:rsid w:val="00127BEA"/>
    <w:rsid w:val="00137D44"/>
    <w:rsid w:val="00145863"/>
    <w:rsid w:val="001554E5"/>
    <w:rsid w:val="001667E0"/>
    <w:rsid w:val="00167388"/>
    <w:rsid w:val="001722C7"/>
    <w:rsid w:val="00176DFB"/>
    <w:rsid w:val="00185D23"/>
    <w:rsid w:val="0018647C"/>
    <w:rsid w:val="00191315"/>
    <w:rsid w:val="00194775"/>
    <w:rsid w:val="001A3300"/>
    <w:rsid w:val="001B258B"/>
    <w:rsid w:val="001B75BC"/>
    <w:rsid w:val="001C30C1"/>
    <w:rsid w:val="001D3BB1"/>
    <w:rsid w:val="001E2F04"/>
    <w:rsid w:val="001E5E71"/>
    <w:rsid w:val="001F753B"/>
    <w:rsid w:val="0020127A"/>
    <w:rsid w:val="002016E5"/>
    <w:rsid w:val="002062FC"/>
    <w:rsid w:val="002118AE"/>
    <w:rsid w:val="0021225B"/>
    <w:rsid w:val="00221830"/>
    <w:rsid w:val="00225CA0"/>
    <w:rsid w:val="0022643B"/>
    <w:rsid w:val="00233D39"/>
    <w:rsid w:val="0023613D"/>
    <w:rsid w:val="0023684B"/>
    <w:rsid w:val="00237778"/>
    <w:rsid w:val="0023785F"/>
    <w:rsid w:val="00240C9F"/>
    <w:rsid w:val="00241913"/>
    <w:rsid w:val="002429AC"/>
    <w:rsid w:val="00250F7D"/>
    <w:rsid w:val="00253B97"/>
    <w:rsid w:val="00256393"/>
    <w:rsid w:val="00260B33"/>
    <w:rsid w:val="002647F2"/>
    <w:rsid w:val="0027009B"/>
    <w:rsid w:val="00283120"/>
    <w:rsid w:val="0028491F"/>
    <w:rsid w:val="002A0122"/>
    <w:rsid w:val="002A397E"/>
    <w:rsid w:val="002A658F"/>
    <w:rsid w:val="002A6697"/>
    <w:rsid w:val="002A78B1"/>
    <w:rsid w:val="002A7C50"/>
    <w:rsid w:val="002B00C3"/>
    <w:rsid w:val="002B5A07"/>
    <w:rsid w:val="002B6766"/>
    <w:rsid w:val="002C292A"/>
    <w:rsid w:val="002C48FE"/>
    <w:rsid w:val="002D077C"/>
    <w:rsid w:val="002D45A5"/>
    <w:rsid w:val="002E075F"/>
    <w:rsid w:val="003107A7"/>
    <w:rsid w:val="00314D30"/>
    <w:rsid w:val="00323F8B"/>
    <w:rsid w:val="00331DDA"/>
    <w:rsid w:val="0033384C"/>
    <w:rsid w:val="00352299"/>
    <w:rsid w:val="003523F3"/>
    <w:rsid w:val="00364926"/>
    <w:rsid w:val="00371CBE"/>
    <w:rsid w:val="003730D0"/>
    <w:rsid w:val="00376DD9"/>
    <w:rsid w:val="00382CFC"/>
    <w:rsid w:val="0038559F"/>
    <w:rsid w:val="003909E2"/>
    <w:rsid w:val="003919C7"/>
    <w:rsid w:val="00393290"/>
    <w:rsid w:val="00393735"/>
    <w:rsid w:val="003B7A75"/>
    <w:rsid w:val="003C016F"/>
    <w:rsid w:val="003C585F"/>
    <w:rsid w:val="003C5B49"/>
    <w:rsid w:val="003D3EBD"/>
    <w:rsid w:val="003E0511"/>
    <w:rsid w:val="003E6757"/>
    <w:rsid w:val="003E6944"/>
    <w:rsid w:val="003F22B2"/>
    <w:rsid w:val="003F3AEB"/>
    <w:rsid w:val="003F511F"/>
    <w:rsid w:val="003F5552"/>
    <w:rsid w:val="00401263"/>
    <w:rsid w:val="0040479B"/>
    <w:rsid w:val="004110EC"/>
    <w:rsid w:val="00413B8D"/>
    <w:rsid w:val="00416A87"/>
    <w:rsid w:val="00421E48"/>
    <w:rsid w:val="0042248C"/>
    <w:rsid w:val="00424406"/>
    <w:rsid w:val="00427046"/>
    <w:rsid w:val="0043303A"/>
    <w:rsid w:val="00433A5C"/>
    <w:rsid w:val="00442691"/>
    <w:rsid w:val="00446BFA"/>
    <w:rsid w:val="004531EB"/>
    <w:rsid w:val="0045639C"/>
    <w:rsid w:val="004623F1"/>
    <w:rsid w:val="004670D5"/>
    <w:rsid w:val="00480F00"/>
    <w:rsid w:val="004833AD"/>
    <w:rsid w:val="00484D0A"/>
    <w:rsid w:val="004915FE"/>
    <w:rsid w:val="00491CD4"/>
    <w:rsid w:val="004933C0"/>
    <w:rsid w:val="004A0AF9"/>
    <w:rsid w:val="004A10A6"/>
    <w:rsid w:val="004B0582"/>
    <w:rsid w:val="004B622B"/>
    <w:rsid w:val="004B72BB"/>
    <w:rsid w:val="004C4730"/>
    <w:rsid w:val="004C4835"/>
    <w:rsid w:val="004C5221"/>
    <w:rsid w:val="004D30CD"/>
    <w:rsid w:val="004D3322"/>
    <w:rsid w:val="004D7352"/>
    <w:rsid w:val="004D7EEE"/>
    <w:rsid w:val="004E1F2E"/>
    <w:rsid w:val="004F7D19"/>
    <w:rsid w:val="00501530"/>
    <w:rsid w:val="005100A2"/>
    <w:rsid w:val="00511D14"/>
    <w:rsid w:val="00513965"/>
    <w:rsid w:val="00522F0D"/>
    <w:rsid w:val="0053234C"/>
    <w:rsid w:val="00532D40"/>
    <w:rsid w:val="00535609"/>
    <w:rsid w:val="00540ECA"/>
    <w:rsid w:val="005420E9"/>
    <w:rsid w:val="00547C0A"/>
    <w:rsid w:val="0055340F"/>
    <w:rsid w:val="005554A9"/>
    <w:rsid w:val="00565983"/>
    <w:rsid w:val="005721FA"/>
    <w:rsid w:val="00580171"/>
    <w:rsid w:val="0058299C"/>
    <w:rsid w:val="005833E3"/>
    <w:rsid w:val="00586C6A"/>
    <w:rsid w:val="00587D1B"/>
    <w:rsid w:val="00595542"/>
    <w:rsid w:val="00597C89"/>
    <w:rsid w:val="005A29D4"/>
    <w:rsid w:val="005B1E64"/>
    <w:rsid w:val="005C250E"/>
    <w:rsid w:val="005D480A"/>
    <w:rsid w:val="005E2029"/>
    <w:rsid w:val="005E378C"/>
    <w:rsid w:val="005F2CC1"/>
    <w:rsid w:val="005F796C"/>
    <w:rsid w:val="0060039B"/>
    <w:rsid w:val="00601B65"/>
    <w:rsid w:val="006052C6"/>
    <w:rsid w:val="00606CAE"/>
    <w:rsid w:val="00616599"/>
    <w:rsid w:val="0061741B"/>
    <w:rsid w:val="00617C8F"/>
    <w:rsid w:val="0062143B"/>
    <w:rsid w:val="00636A62"/>
    <w:rsid w:val="00645400"/>
    <w:rsid w:val="00652122"/>
    <w:rsid w:val="00654E44"/>
    <w:rsid w:val="00662BB5"/>
    <w:rsid w:val="0066766E"/>
    <w:rsid w:val="006676AA"/>
    <w:rsid w:val="006701F1"/>
    <w:rsid w:val="00677F2A"/>
    <w:rsid w:val="00696A77"/>
    <w:rsid w:val="006A78F1"/>
    <w:rsid w:val="006B497C"/>
    <w:rsid w:val="006B61D8"/>
    <w:rsid w:val="006C7302"/>
    <w:rsid w:val="006D0413"/>
    <w:rsid w:val="006E5387"/>
    <w:rsid w:val="006F2D53"/>
    <w:rsid w:val="006F7B4B"/>
    <w:rsid w:val="00704674"/>
    <w:rsid w:val="00714CB1"/>
    <w:rsid w:val="0072110C"/>
    <w:rsid w:val="00723E02"/>
    <w:rsid w:val="007260E9"/>
    <w:rsid w:val="00735985"/>
    <w:rsid w:val="00735B4B"/>
    <w:rsid w:val="007370E2"/>
    <w:rsid w:val="007372B5"/>
    <w:rsid w:val="007508DE"/>
    <w:rsid w:val="00753235"/>
    <w:rsid w:val="00753D90"/>
    <w:rsid w:val="007547E6"/>
    <w:rsid w:val="00761744"/>
    <w:rsid w:val="00765F28"/>
    <w:rsid w:val="00766E00"/>
    <w:rsid w:val="00771FCE"/>
    <w:rsid w:val="0077553A"/>
    <w:rsid w:val="0078055A"/>
    <w:rsid w:val="00781082"/>
    <w:rsid w:val="00781329"/>
    <w:rsid w:val="00783B2C"/>
    <w:rsid w:val="00787736"/>
    <w:rsid w:val="00795505"/>
    <w:rsid w:val="00796237"/>
    <w:rsid w:val="007B3FD5"/>
    <w:rsid w:val="007D2297"/>
    <w:rsid w:val="007D4FD1"/>
    <w:rsid w:val="007E012D"/>
    <w:rsid w:val="007E0CEE"/>
    <w:rsid w:val="007E6B7B"/>
    <w:rsid w:val="007F0118"/>
    <w:rsid w:val="007F1F84"/>
    <w:rsid w:val="007F281C"/>
    <w:rsid w:val="007F512E"/>
    <w:rsid w:val="007F7379"/>
    <w:rsid w:val="008115D3"/>
    <w:rsid w:val="0081255D"/>
    <w:rsid w:val="008241C4"/>
    <w:rsid w:val="008252DF"/>
    <w:rsid w:val="00826B12"/>
    <w:rsid w:val="00837466"/>
    <w:rsid w:val="00837468"/>
    <w:rsid w:val="00842FB8"/>
    <w:rsid w:val="008470CC"/>
    <w:rsid w:val="00856793"/>
    <w:rsid w:val="00857985"/>
    <w:rsid w:val="00857E40"/>
    <w:rsid w:val="00860549"/>
    <w:rsid w:val="008620CD"/>
    <w:rsid w:val="0087662C"/>
    <w:rsid w:val="00881057"/>
    <w:rsid w:val="00892101"/>
    <w:rsid w:val="008A016A"/>
    <w:rsid w:val="008A4802"/>
    <w:rsid w:val="008B2195"/>
    <w:rsid w:val="008B373F"/>
    <w:rsid w:val="008B5980"/>
    <w:rsid w:val="008C1497"/>
    <w:rsid w:val="008C1646"/>
    <w:rsid w:val="008D04ED"/>
    <w:rsid w:val="008D1E0C"/>
    <w:rsid w:val="008D53CE"/>
    <w:rsid w:val="008D6E60"/>
    <w:rsid w:val="008E0B17"/>
    <w:rsid w:val="008E15D2"/>
    <w:rsid w:val="008E2C16"/>
    <w:rsid w:val="008E2FAA"/>
    <w:rsid w:val="008E3ADF"/>
    <w:rsid w:val="008E5674"/>
    <w:rsid w:val="008F0367"/>
    <w:rsid w:val="009322F9"/>
    <w:rsid w:val="009378DB"/>
    <w:rsid w:val="0094228A"/>
    <w:rsid w:val="0094300F"/>
    <w:rsid w:val="00947134"/>
    <w:rsid w:val="009539BA"/>
    <w:rsid w:val="00961047"/>
    <w:rsid w:val="00963550"/>
    <w:rsid w:val="00964C60"/>
    <w:rsid w:val="00971A30"/>
    <w:rsid w:val="00971D9D"/>
    <w:rsid w:val="00972468"/>
    <w:rsid w:val="0097570B"/>
    <w:rsid w:val="009807AD"/>
    <w:rsid w:val="00990B1E"/>
    <w:rsid w:val="009973E9"/>
    <w:rsid w:val="009B2794"/>
    <w:rsid w:val="009B40DB"/>
    <w:rsid w:val="009B4AA8"/>
    <w:rsid w:val="009C0DEA"/>
    <w:rsid w:val="009C4C0B"/>
    <w:rsid w:val="009D0281"/>
    <w:rsid w:val="009D3BB0"/>
    <w:rsid w:val="009E14C4"/>
    <w:rsid w:val="009F1D80"/>
    <w:rsid w:val="00A0514D"/>
    <w:rsid w:val="00A10AB0"/>
    <w:rsid w:val="00A12684"/>
    <w:rsid w:val="00A16F23"/>
    <w:rsid w:val="00A33038"/>
    <w:rsid w:val="00A3488A"/>
    <w:rsid w:val="00A36385"/>
    <w:rsid w:val="00A363B0"/>
    <w:rsid w:val="00A51B8A"/>
    <w:rsid w:val="00A52B21"/>
    <w:rsid w:val="00A53CD4"/>
    <w:rsid w:val="00A641D3"/>
    <w:rsid w:val="00A711B0"/>
    <w:rsid w:val="00A716B6"/>
    <w:rsid w:val="00A741F6"/>
    <w:rsid w:val="00A77797"/>
    <w:rsid w:val="00A832BA"/>
    <w:rsid w:val="00A93A32"/>
    <w:rsid w:val="00A975D3"/>
    <w:rsid w:val="00A97975"/>
    <w:rsid w:val="00AB6513"/>
    <w:rsid w:val="00AC103D"/>
    <w:rsid w:val="00AC33B2"/>
    <w:rsid w:val="00AD1C3B"/>
    <w:rsid w:val="00AD33B9"/>
    <w:rsid w:val="00AD45A9"/>
    <w:rsid w:val="00AD61B5"/>
    <w:rsid w:val="00AD7524"/>
    <w:rsid w:val="00AE2A5B"/>
    <w:rsid w:val="00AE5460"/>
    <w:rsid w:val="00AF0FD3"/>
    <w:rsid w:val="00AF458A"/>
    <w:rsid w:val="00AF7778"/>
    <w:rsid w:val="00AF7979"/>
    <w:rsid w:val="00B00788"/>
    <w:rsid w:val="00B00B5D"/>
    <w:rsid w:val="00B04ED0"/>
    <w:rsid w:val="00B10BD8"/>
    <w:rsid w:val="00B12FE0"/>
    <w:rsid w:val="00B14400"/>
    <w:rsid w:val="00B16A86"/>
    <w:rsid w:val="00B256E7"/>
    <w:rsid w:val="00B30219"/>
    <w:rsid w:val="00B30349"/>
    <w:rsid w:val="00B30A9E"/>
    <w:rsid w:val="00B30AF7"/>
    <w:rsid w:val="00B64475"/>
    <w:rsid w:val="00B649F1"/>
    <w:rsid w:val="00B667C1"/>
    <w:rsid w:val="00B7750B"/>
    <w:rsid w:val="00B82ABD"/>
    <w:rsid w:val="00B9215D"/>
    <w:rsid w:val="00B934BB"/>
    <w:rsid w:val="00B9693B"/>
    <w:rsid w:val="00BA1470"/>
    <w:rsid w:val="00BA31F0"/>
    <w:rsid w:val="00BB29A6"/>
    <w:rsid w:val="00BB57D4"/>
    <w:rsid w:val="00BC127A"/>
    <w:rsid w:val="00BC71A1"/>
    <w:rsid w:val="00BD4C8D"/>
    <w:rsid w:val="00BE1615"/>
    <w:rsid w:val="00BE602E"/>
    <w:rsid w:val="00BF2980"/>
    <w:rsid w:val="00BF599C"/>
    <w:rsid w:val="00BF5D0A"/>
    <w:rsid w:val="00BF6550"/>
    <w:rsid w:val="00C00E8A"/>
    <w:rsid w:val="00C02369"/>
    <w:rsid w:val="00C0703F"/>
    <w:rsid w:val="00C202A0"/>
    <w:rsid w:val="00C22C2C"/>
    <w:rsid w:val="00C25FAD"/>
    <w:rsid w:val="00C30B28"/>
    <w:rsid w:val="00C4385D"/>
    <w:rsid w:val="00C46B73"/>
    <w:rsid w:val="00C51857"/>
    <w:rsid w:val="00C60E75"/>
    <w:rsid w:val="00C6198D"/>
    <w:rsid w:val="00C65C0D"/>
    <w:rsid w:val="00C7004A"/>
    <w:rsid w:val="00C72555"/>
    <w:rsid w:val="00C82EA2"/>
    <w:rsid w:val="00C86B34"/>
    <w:rsid w:val="00C94EFF"/>
    <w:rsid w:val="00CA349E"/>
    <w:rsid w:val="00CA3E2F"/>
    <w:rsid w:val="00CA5CDA"/>
    <w:rsid w:val="00CA5DA9"/>
    <w:rsid w:val="00CA6643"/>
    <w:rsid w:val="00CC7E61"/>
    <w:rsid w:val="00CD07A9"/>
    <w:rsid w:val="00CD1EC1"/>
    <w:rsid w:val="00CD2782"/>
    <w:rsid w:val="00CD319B"/>
    <w:rsid w:val="00CD5782"/>
    <w:rsid w:val="00CD5A6F"/>
    <w:rsid w:val="00CE1161"/>
    <w:rsid w:val="00CE6FCA"/>
    <w:rsid w:val="00CF022F"/>
    <w:rsid w:val="00CF1187"/>
    <w:rsid w:val="00D05AA3"/>
    <w:rsid w:val="00D05E2B"/>
    <w:rsid w:val="00D06E11"/>
    <w:rsid w:val="00D124C2"/>
    <w:rsid w:val="00D26857"/>
    <w:rsid w:val="00D27A5A"/>
    <w:rsid w:val="00D3239F"/>
    <w:rsid w:val="00D32A37"/>
    <w:rsid w:val="00D377E6"/>
    <w:rsid w:val="00D450F7"/>
    <w:rsid w:val="00D47DA7"/>
    <w:rsid w:val="00D52C4C"/>
    <w:rsid w:val="00D62B47"/>
    <w:rsid w:val="00D634E8"/>
    <w:rsid w:val="00D64575"/>
    <w:rsid w:val="00D67D7F"/>
    <w:rsid w:val="00D7429E"/>
    <w:rsid w:val="00D81909"/>
    <w:rsid w:val="00D849DA"/>
    <w:rsid w:val="00D85234"/>
    <w:rsid w:val="00D8693E"/>
    <w:rsid w:val="00D92DDD"/>
    <w:rsid w:val="00D94E1C"/>
    <w:rsid w:val="00DA1D39"/>
    <w:rsid w:val="00DB04B9"/>
    <w:rsid w:val="00DB7BD3"/>
    <w:rsid w:val="00DC6907"/>
    <w:rsid w:val="00DC7121"/>
    <w:rsid w:val="00DC7FDD"/>
    <w:rsid w:val="00DD0292"/>
    <w:rsid w:val="00DD4AC4"/>
    <w:rsid w:val="00DF6824"/>
    <w:rsid w:val="00DF7675"/>
    <w:rsid w:val="00E12503"/>
    <w:rsid w:val="00E15134"/>
    <w:rsid w:val="00E15D98"/>
    <w:rsid w:val="00E2509C"/>
    <w:rsid w:val="00E26868"/>
    <w:rsid w:val="00E32578"/>
    <w:rsid w:val="00E33F96"/>
    <w:rsid w:val="00E3505C"/>
    <w:rsid w:val="00E36C0A"/>
    <w:rsid w:val="00E44D84"/>
    <w:rsid w:val="00E517BC"/>
    <w:rsid w:val="00E63840"/>
    <w:rsid w:val="00E70890"/>
    <w:rsid w:val="00E711F7"/>
    <w:rsid w:val="00E72D5C"/>
    <w:rsid w:val="00E805F5"/>
    <w:rsid w:val="00E815F8"/>
    <w:rsid w:val="00EA04C3"/>
    <w:rsid w:val="00EA132C"/>
    <w:rsid w:val="00EA32C2"/>
    <w:rsid w:val="00EA4AEB"/>
    <w:rsid w:val="00EA5DDC"/>
    <w:rsid w:val="00EA75FF"/>
    <w:rsid w:val="00EB27EF"/>
    <w:rsid w:val="00ED071D"/>
    <w:rsid w:val="00ED2303"/>
    <w:rsid w:val="00ED2469"/>
    <w:rsid w:val="00ED2F48"/>
    <w:rsid w:val="00EE6243"/>
    <w:rsid w:val="00EE76F1"/>
    <w:rsid w:val="00EE7F63"/>
    <w:rsid w:val="00EF4863"/>
    <w:rsid w:val="00EF5A56"/>
    <w:rsid w:val="00EF78D7"/>
    <w:rsid w:val="00EF7D58"/>
    <w:rsid w:val="00F01420"/>
    <w:rsid w:val="00F102BC"/>
    <w:rsid w:val="00F319D0"/>
    <w:rsid w:val="00F37FDA"/>
    <w:rsid w:val="00F40613"/>
    <w:rsid w:val="00F410EC"/>
    <w:rsid w:val="00F42FF3"/>
    <w:rsid w:val="00F453AF"/>
    <w:rsid w:val="00F45A42"/>
    <w:rsid w:val="00F45E75"/>
    <w:rsid w:val="00F52A17"/>
    <w:rsid w:val="00F54A71"/>
    <w:rsid w:val="00F55ECB"/>
    <w:rsid w:val="00F61AC7"/>
    <w:rsid w:val="00F650A8"/>
    <w:rsid w:val="00F656F7"/>
    <w:rsid w:val="00F66052"/>
    <w:rsid w:val="00F678E5"/>
    <w:rsid w:val="00F70666"/>
    <w:rsid w:val="00F72312"/>
    <w:rsid w:val="00F8043B"/>
    <w:rsid w:val="00F81726"/>
    <w:rsid w:val="00F8201B"/>
    <w:rsid w:val="00F827B1"/>
    <w:rsid w:val="00F9630D"/>
    <w:rsid w:val="00FA272B"/>
    <w:rsid w:val="00FA2967"/>
    <w:rsid w:val="00FA43E6"/>
    <w:rsid w:val="00FB554D"/>
    <w:rsid w:val="00FB7C02"/>
    <w:rsid w:val="00FC378E"/>
    <w:rsid w:val="00FC3DF0"/>
    <w:rsid w:val="00FC4997"/>
    <w:rsid w:val="00FD09FE"/>
    <w:rsid w:val="00FD4FB4"/>
    <w:rsid w:val="00FD7921"/>
    <w:rsid w:val="00FE49FF"/>
    <w:rsid w:val="00FE6F76"/>
    <w:rsid w:val="00FF36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98B4"/>
  <w15:chartTrackingRefBased/>
  <w15:docId w15:val="{874340F9-4495-497C-907E-E7A82D05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heading 1"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link w:val="Antrat1Diagrama"/>
    <w:uiPriority w:val="9"/>
    <w:qFormat/>
    <w:rsid w:val="008D53CE"/>
    <w:pPr>
      <w:spacing w:before="100" w:beforeAutospacing="1" w:after="100" w:afterAutospacing="1"/>
      <w:outlineLvl w:val="0"/>
    </w:pPr>
    <w:rPr>
      <w:b/>
      <w:bCs/>
      <w:kern w:val="36"/>
      <w:sz w:val="48"/>
      <w:szCs w:val="48"/>
      <w:lang w:eastAsia="lt-LT"/>
    </w:rPr>
  </w:style>
  <w:style w:type="paragraph" w:styleId="Antrat4">
    <w:name w:val="heading 4"/>
    <w:basedOn w:val="prastasis"/>
    <w:next w:val="prastasis"/>
    <w:link w:val="Antrat4Diagrama"/>
    <w:rsid w:val="003D3EB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37466"/>
    <w:pPr>
      <w:autoSpaceDE w:val="0"/>
      <w:autoSpaceDN w:val="0"/>
      <w:adjustRightInd w:val="0"/>
    </w:pPr>
    <w:rPr>
      <w:color w:val="000000"/>
      <w:sz w:val="24"/>
      <w:szCs w:val="24"/>
    </w:rPr>
  </w:style>
  <w:style w:type="paragraph" w:styleId="Sraopastraipa">
    <w:name w:val="List Paragraph"/>
    <w:basedOn w:val="prastasis"/>
    <w:rsid w:val="007D2297"/>
    <w:pPr>
      <w:ind w:left="720"/>
      <w:contextualSpacing/>
    </w:pPr>
  </w:style>
  <w:style w:type="character" w:styleId="Hipersaitas">
    <w:name w:val="Hyperlink"/>
    <w:basedOn w:val="Numatytasispastraiposriftas"/>
    <w:unhideWhenUsed/>
    <w:rsid w:val="00CD1EC1"/>
    <w:rPr>
      <w:color w:val="0563C1" w:themeColor="hyperlink"/>
      <w:u w:val="single"/>
    </w:rPr>
  </w:style>
  <w:style w:type="character" w:styleId="Neapdorotaspaminjimas">
    <w:name w:val="Unresolved Mention"/>
    <w:basedOn w:val="Numatytasispastraiposriftas"/>
    <w:uiPriority w:val="99"/>
    <w:semiHidden/>
    <w:unhideWhenUsed/>
    <w:rsid w:val="00D27A5A"/>
    <w:rPr>
      <w:color w:val="605E5C"/>
      <w:shd w:val="clear" w:color="auto" w:fill="E1DFDD"/>
    </w:rPr>
  </w:style>
  <w:style w:type="character" w:customStyle="1" w:styleId="Antrat1Diagrama">
    <w:name w:val="Antraštė 1 Diagrama"/>
    <w:basedOn w:val="Numatytasispastraiposriftas"/>
    <w:link w:val="Antrat1"/>
    <w:uiPriority w:val="9"/>
    <w:rsid w:val="008D53CE"/>
    <w:rPr>
      <w:b/>
      <w:bCs/>
      <w:kern w:val="36"/>
      <w:sz w:val="48"/>
      <w:szCs w:val="48"/>
    </w:rPr>
  </w:style>
  <w:style w:type="character" w:customStyle="1" w:styleId="Antrat4Diagrama">
    <w:name w:val="Antraštė 4 Diagrama"/>
    <w:basedOn w:val="Numatytasispastraiposriftas"/>
    <w:link w:val="Antrat4"/>
    <w:rsid w:val="003D3EBD"/>
    <w:rPr>
      <w:rFonts w:asciiTheme="majorHAnsi" w:eastAsiaTheme="majorEastAsia" w:hAnsiTheme="majorHAnsi" w:cstheme="majorBidi"/>
      <w:i/>
      <w:iCs/>
      <w:color w:val="2E74B5" w:themeColor="accent1" w:themeShade="BF"/>
      <w:sz w:val="24"/>
      <w:lang w:eastAsia="en-US"/>
    </w:rPr>
  </w:style>
  <w:style w:type="paragraph" w:styleId="prastasiniatinklio">
    <w:name w:val="Normal (Web)"/>
    <w:basedOn w:val="prastasis"/>
    <w:uiPriority w:val="99"/>
    <w:unhideWhenUsed/>
    <w:rsid w:val="00055DCB"/>
    <w:pPr>
      <w:spacing w:before="100" w:beforeAutospacing="1" w:after="100" w:afterAutospacing="1"/>
    </w:pPr>
    <w:rPr>
      <w:szCs w:val="24"/>
      <w:lang w:eastAsia="lt-LT"/>
    </w:rPr>
  </w:style>
  <w:style w:type="character" w:styleId="Grietas">
    <w:name w:val="Strong"/>
    <w:basedOn w:val="Numatytasispastraiposriftas"/>
    <w:uiPriority w:val="22"/>
    <w:qFormat/>
    <w:rsid w:val="00055DCB"/>
    <w:rPr>
      <w:b/>
      <w:bCs/>
    </w:rPr>
  </w:style>
  <w:style w:type="character" w:styleId="Perirtashipersaitas">
    <w:name w:val="FollowedHyperlink"/>
    <w:basedOn w:val="Numatytasispastraiposriftas"/>
    <w:semiHidden/>
    <w:unhideWhenUsed/>
    <w:rsid w:val="00A741F6"/>
    <w:rPr>
      <w:color w:val="954F72" w:themeColor="followedHyperlink"/>
      <w:u w:val="single"/>
    </w:rPr>
  </w:style>
  <w:style w:type="paragraph" w:styleId="Puslapioinaostekstas">
    <w:name w:val="footnote text"/>
    <w:basedOn w:val="prastasis"/>
    <w:link w:val="PuslapioinaostekstasDiagrama"/>
    <w:semiHidden/>
    <w:unhideWhenUsed/>
    <w:rsid w:val="00D849DA"/>
    <w:rPr>
      <w:sz w:val="20"/>
    </w:rPr>
  </w:style>
  <w:style w:type="character" w:customStyle="1" w:styleId="PuslapioinaostekstasDiagrama">
    <w:name w:val="Puslapio išnašos tekstas Diagrama"/>
    <w:basedOn w:val="Numatytasispastraiposriftas"/>
    <w:link w:val="Puslapioinaostekstas"/>
    <w:semiHidden/>
    <w:rsid w:val="00D849DA"/>
    <w:rPr>
      <w:lang w:eastAsia="en-US"/>
    </w:rPr>
  </w:style>
  <w:style w:type="character" w:styleId="Puslapioinaosnuoroda">
    <w:name w:val="footnote reference"/>
    <w:basedOn w:val="Numatytasispastraiposriftas"/>
    <w:semiHidden/>
    <w:unhideWhenUsed/>
    <w:rsid w:val="00D849DA"/>
    <w:rPr>
      <w:vertAlign w:val="superscript"/>
    </w:rPr>
  </w:style>
  <w:style w:type="character" w:styleId="Komentaronuoroda">
    <w:name w:val="annotation reference"/>
    <w:basedOn w:val="Numatytasispastraiposriftas"/>
    <w:semiHidden/>
    <w:unhideWhenUsed/>
    <w:rsid w:val="00CA3E2F"/>
    <w:rPr>
      <w:sz w:val="16"/>
      <w:szCs w:val="16"/>
    </w:rPr>
  </w:style>
  <w:style w:type="paragraph" w:styleId="Komentarotekstas">
    <w:name w:val="annotation text"/>
    <w:basedOn w:val="prastasis"/>
    <w:link w:val="KomentarotekstasDiagrama"/>
    <w:unhideWhenUsed/>
    <w:rsid w:val="00CA3E2F"/>
    <w:rPr>
      <w:sz w:val="20"/>
    </w:rPr>
  </w:style>
  <w:style w:type="character" w:customStyle="1" w:styleId="KomentarotekstasDiagrama">
    <w:name w:val="Komentaro tekstas Diagrama"/>
    <w:basedOn w:val="Numatytasispastraiposriftas"/>
    <w:link w:val="Komentarotekstas"/>
    <w:rsid w:val="00CA3E2F"/>
    <w:rPr>
      <w:lang w:eastAsia="en-US"/>
    </w:rPr>
  </w:style>
  <w:style w:type="paragraph" w:styleId="Komentarotema">
    <w:name w:val="annotation subject"/>
    <w:basedOn w:val="Komentarotekstas"/>
    <w:next w:val="Komentarotekstas"/>
    <w:link w:val="KomentarotemaDiagrama"/>
    <w:semiHidden/>
    <w:unhideWhenUsed/>
    <w:rsid w:val="00EF4863"/>
    <w:rPr>
      <w:b/>
      <w:bCs/>
    </w:rPr>
  </w:style>
  <w:style w:type="character" w:customStyle="1" w:styleId="KomentarotemaDiagrama">
    <w:name w:val="Komentaro tema Diagrama"/>
    <w:basedOn w:val="KomentarotekstasDiagrama"/>
    <w:link w:val="Komentarotema"/>
    <w:semiHidden/>
    <w:rsid w:val="00EF4863"/>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3104">
      <w:bodyDiv w:val="1"/>
      <w:marLeft w:val="0"/>
      <w:marRight w:val="0"/>
      <w:marTop w:val="0"/>
      <w:marBottom w:val="0"/>
      <w:divBdr>
        <w:top w:val="none" w:sz="0" w:space="0" w:color="auto"/>
        <w:left w:val="none" w:sz="0" w:space="0" w:color="auto"/>
        <w:bottom w:val="none" w:sz="0" w:space="0" w:color="auto"/>
        <w:right w:val="none" w:sz="0" w:space="0" w:color="auto"/>
      </w:divBdr>
    </w:div>
    <w:div w:id="75395803">
      <w:bodyDiv w:val="1"/>
      <w:marLeft w:val="0"/>
      <w:marRight w:val="0"/>
      <w:marTop w:val="0"/>
      <w:marBottom w:val="0"/>
      <w:divBdr>
        <w:top w:val="none" w:sz="0" w:space="0" w:color="auto"/>
        <w:left w:val="none" w:sz="0" w:space="0" w:color="auto"/>
        <w:bottom w:val="none" w:sz="0" w:space="0" w:color="auto"/>
        <w:right w:val="none" w:sz="0" w:space="0" w:color="auto"/>
      </w:divBdr>
    </w:div>
    <w:div w:id="342512776">
      <w:bodyDiv w:val="1"/>
      <w:marLeft w:val="0"/>
      <w:marRight w:val="0"/>
      <w:marTop w:val="0"/>
      <w:marBottom w:val="0"/>
      <w:divBdr>
        <w:top w:val="none" w:sz="0" w:space="0" w:color="auto"/>
        <w:left w:val="none" w:sz="0" w:space="0" w:color="auto"/>
        <w:bottom w:val="none" w:sz="0" w:space="0" w:color="auto"/>
        <w:right w:val="none" w:sz="0" w:space="0" w:color="auto"/>
      </w:divBdr>
    </w:div>
    <w:div w:id="473331512">
      <w:bodyDiv w:val="1"/>
      <w:marLeft w:val="0"/>
      <w:marRight w:val="0"/>
      <w:marTop w:val="0"/>
      <w:marBottom w:val="0"/>
      <w:divBdr>
        <w:top w:val="none" w:sz="0" w:space="0" w:color="auto"/>
        <w:left w:val="none" w:sz="0" w:space="0" w:color="auto"/>
        <w:bottom w:val="none" w:sz="0" w:space="0" w:color="auto"/>
        <w:right w:val="none" w:sz="0" w:space="0" w:color="auto"/>
      </w:divBdr>
    </w:div>
    <w:div w:id="514465669">
      <w:bodyDiv w:val="1"/>
      <w:marLeft w:val="0"/>
      <w:marRight w:val="0"/>
      <w:marTop w:val="0"/>
      <w:marBottom w:val="0"/>
      <w:divBdr>
        <w:top w:val="none" w:sz="0" w:space="0" w:color="auto"/>
        <w:left w:val="none" w:sz="0" w:space="0" w:color="auto"/>
        <w:bottom w:val="none" w:sz="0" w:space="0" w:color="auto"/>
        <w:right w:val="none" w:sz="0" w:space="0" w:color="auto"/>
      </w:divBdr>
    </w:div>
    <w:div w:id="719281756">
      <w:bodyDiv w:val="1"/>
      <w:marLeft w:val="0"/>
      <w:marRight w:val="0"/>
      <w:marTop w:val="0"/>
      <w:marBottom w:val="0"/>
      <w:divBdr>
        <w:top w:val="none" w:sz="0" w:space="0" w:color="auto"/>
        <w:left w:val="none" w:sz="0" w:space="0" w:color="auto"/>
        <w:bottom w:val="none" w:sz="0" w:space="0" w:color="auto"/>
        <w:right w:val="none" w:sz="0" w:space="0" w:color="auto"/>
      </w:divBdr>
    </w:div>
    <w:div w:id="811143247">
      <w:bodyDiv w:val="1"/>
      <w:marLeft w:val="0"/>
      <w:marRight w:val="0"/>
      <w:marTop w:val="0"/>
      <w:marBottom w:val="0"/>
      <w:divBdr>
        <w:top w:val="none" w:sz="0" w:space="0" w:color="auto"/>
        <w:left w:val="none" w:sz="0" w:space="0" w:color="auto"/>
        <w:bottom w:val="none" w:sz="0" w:space="0" w:color="auto"/>
        <w:right w:val="none" w:sz="0" w:space="0" w:color="auto"/>
      </w:divBdr>
    </w:div>
    <w:div w:id="899902384">
      <w:bodyDiv w:val="1"/>
      <w:marLeft w:val="0"/>
      <w:marRight w:val="0"/>
      <w:marTop w:val="0"/>
      <w:marBottom w:val="0"/>
      <w:divBdr>
        <w:top w:val="none" w:sz="0" w:space="0" w:color="auto"/>
        <w:left w:val="none" w:sz="0" w:space="0" w:color="auto"/>
        <w:bottom w:val="none" w:sz="0" w:space="0" w:color="auto"/>
        <w:right w:val="none" w:sz="0" w:space="0" w:color="auto"/>
      </w:divBdr>
    </w:div>
    <w:div w:id="923296295">
      <w:bodyDiv w:val="1"/>
      <w:marLeft w:val="0"/>
      <w:marRight w:val="0"/>
      <w:marTop w:val="0"/>
      <w:marBottom w:val="0"/>
      <w:divBdr>
        <w:top w:val="none" w:sz="0" w:space="0" w:color="auto"/>
        <w:left w:val="none" w:sz="0" w:space="0" w:color="auto"/>
        <w:bottom w:val="none" w:sz="0" w:space="0" w:color="auto"/>
        <w:right w:val="none" w:sz="0" w:space="0" w:color="auto"/>
      </w:divBdr>
    </w:div>
    <w:div w:id="1159803865">
      <w:bodyDiv w:val="1"/>
      <w:marLeft w:val="0"/>
      <w:marRight w:val="0"/>
      <w:marTop w:val="0"/>
      <w:marBottom w:val="0"/>
      <w:divBdr>
        <w:top w:val="none" w:sz="0" w:space="0" w:color="auto"/>
        <w:left w:val="none" w:sz="0" w:space="0" w:color="auto"/>
        <w:bottom w:val="none" w:sz="0" w:space="0" w:color="auto"/>
        <w:right w:val="none" w:sz="0" w:space="0" w:color="auto"/>
      </w:divBdr>
    </w:div>
    <w:div w:id="1210220435">
      <w:bodyDiv w:val="1"/>
      <w:marLeft w:val="0"/>
      <w:marRight w:val="0"/>
      <w:marTop w:val="0"/>
      <w:marBottom w:val="0"/>
      <w:divBdr>
        <w:top w:val="none" w:sz="0" w:space="0" w:color="auto"/>
        <w:left w:val="none" w:sz="0" w:space="0" w:color="auto"/>
        <w:bottom w:val="none" w:sz="0" w:space="0" w:color="auto"/>
        <w:right w:val="none" w:sz="0" w:space="0" w:color="auto"/>
      </w:divBdr>
    </w:div>
    <w:div w:id="1232228881">
      <w:bodyDiv w:val="1"/>
      <w:marLeft w:val="0"/>
      <w:marRight w:val="0"/>
      <w:marTop w:val="0"/>
      <w:marBottom w:val="0"/>
      <w:divBdr>
        <w:top w:val="none" w:sz="0" w:space="0" w:color="auto"/>
        <w:left w:val="none" w:sz="0" w:space="0" w:color="auto"/>
        <w:bottom w:val="none" w:sz="0" w:space="0" w:color="auto"/>
        <w:right w:val="none" w:sz="0" w:space="0" w:color="auto"/>
      </w:divBdr>
    </w:div>
    <w:div w:id="1483888157">
      <w:bodyDiv w:val="1"/>
      <w:marLeft w:val="0"/>
      <w:marRight w:val="0"/>
      <w:marTop w:val="0"/>
      <w:marBottom w:val="0"/>
      <w:divBdr>
        <w:top w:val="none" w:sz="0" w:space="0" w:color="auto"/>
        <w:left w:val="none" w:sz="0" w:space="0" w:color="auto"/>
        <w:bottom w:val="none" w:sz="0" w:space="0" w:color="auto"/>
        <w:right w:val="none" w:sz="0" w:space="0" w:color="auto"/>
      </w:divBdr>
    </w:div>
    <w:div w:id="1497720830">
      <w:bodyDiv w:val="1"/>
      <w:marLeft w:val="0"/>
      <w:marRight w:val="0"/>
      <w:marTop w:val="0"/>
      <w:marBottom w:val="0"/>
      <w:divBdr>
        <w:top w:val="none" w:sz="0" w:space="0" w:color="auto"/>
        <w:left w:val="none" w:sz="0" w:space="0" w:color="auto"/>
        <w:bottom w:val="none" w:sz="0" w:space="0" w:color="auto"/>
        <w:right w:val="none" w:sz="0" w:space="0" w:color="auto"/>
      </w:divBdr>
    </w:div>
    <w:div w:id="1501002165">
      <w:bodyDiv w:val="1"/>
      <w:marLeft w:val="0"/>
      <w:marRight w:val="0"/>
      <w:marTop w:val="0"/>
      <w:marBottom w:val="0"/>
      <w:divBdr>
        <w:top w:val="none" w:sz="0" w:space="0" w:color="auto"/>
        <w:left w:val="none" w:sz="0" w:space="0" w:color="auto"/>
        <w:bottom w:val="none" w:sz="0" w:space="0" w:color="auto"/>
        <w:right w:val="none" w:sz="0" w:space="0" w:color="auto"/>
      </w:divBdr>
    </w:div>
    <w:div w:id="1515850269">
      <w:bodyDiv w:val="1"/>
      <w:marLeft w:val="0"/>
      <w:marRight w:val="0"/>
      <w:marTop w:val="0"/>
      <w:marBottom w:val="0"/>
      <w:divBdr>
        <w:top w:val="none" w:sz="0" w:space="0" w:color="auto"/>
        <w:left w:val="none" w:sz="0" w:space="0" w:color="auto"/>
        <w:bottom w:val="none" w:sz="0" w:space="0" w:color="auto"/>
        <w:right w:val="none" w:sz="0" w:space="0" w:color="auto"/>
      </w:divBdr>
    </w:div>
    <w:div w:id="1534344276">
      <w:bodyDiv w:val="1"/>
      <w:marLeft w:val="0"/>
      <w:marRight w:val="0"/>
      <w:marTop w:val="0"/>
      <w:marBottom w:val="0"/>
      <w:divBdr>
        <w:top w:val="none" w:sz="0" w:space="0" w:color="auto"/>
        <w:left w:val="none" w:sz="0" w:space="0" w:color="auto"/>
        <w:bottom w:val="none" w:sz="0" w:space="0" w:color="auto"/>
        <w:right w:val="none" w:sz="0" w:space="0" w:color="auto"/>
      </w:divBdr>
    </w:div>
    <w:div w:id="1557279625">
      <w:bodyDiv w:val="1"/>
      <w:marLeft w:val="0"/>
      <w:marRight w:val="0"/>
      <w:marTop w:val="0"/>
      <w:marBottom w:val="0"/>
      <w:divBdr>
        <w:top w:val="none" w:sz="0" w:space="0" w:color="auto"/>
        <w:left w:val="none" w:sz="0" w:space="0" w:color="auto"/>
        <w:bottom w:val="none" w:sz="0" w:space="0" w:color="auto"/>
        <w:right w:val="none" w:sz="0" w:space="0" w:color="auto"/>
      </w:divBdr>
    </w:div>
    <w:div w:id="1629430816">
      <w:bodyDiv w:val="1"/>
      <w:marLeft w:val="0"/>
      <w:marRight w:val="0"/>
      <w:marTop w:val="0"/>
      <w:marBottom w:val="0"/>
      <w:divBdr>
        <w:top w:val="none" w:sz="0" w:space="0" w:color="auto"/>
        <w:left w:val="none" w:sz="0" w:space="0" w:color="auto"/>
        <w:bottom w:val="none" w:sz="0" w:space="0" w:color="auto"/>
        <w:right w:val="none" w:sz="0" w:space="0" w:color="auto"/>
      </w:divBdr>
    </w:div>
    <w:div w:id="1706061078">
      <w:bodyDiv w:val="1"/>
      <w:marLeft w:val="0"/>
      <w:marRight w:val="0"/>
      <w:marTop w:val="0"/>
      <w:marBottom w:val="0"/>
      <w:divBdr>
        <w:top w:val="none" w:sz="0" w:space="0" w:color="auto"/>
        <w:left w:val="none" w:sz="0" w:space="0" w:color="auto"/>
        <w:bottom w:val="none" w:sz="0" w:space="0" w:color="auto"/>
        <w:right w:val="none" w:sz="0" w:space="0" w:color="auto"/>
      </w:divBdr>
    </w:div>
    <w:div w:id="1811899879">
      <w:bodyDiv w:val="1"/>
      <w:marLeft w:val="0"/>
      <w:marRight w:val="0"/>
      <w:marTop w:val="0"/>
      <w:marBottom w:val="0"/>
      <w:divBdr>
        <w:top w:val="none" w:sz="0" w:space="0" w:color="auto"/>
        <w:left w:val="none" w:sz="0" w:space="0" w:color="auto"/>
        <w:bottom w:val="none" w:sz="0" w:space="0" w:color="auto"/>
        <w:right w:val="none" w:sz="0" w:space="0" w:color="auto"/>
      </w:divBdr>
    </w:div>
    <w:div w:id="1895193141">
      <w:bodyDiv w:val="1"/>
      <w:marLeft w:val="0"/>
      <w:marRight w:val="0"/>
      <w:marTop w:val="0"/>
      <w:marBottom w:val="0"/>
      <w:divBdr>
        <w:top w:val="none" w:sz="0" w:space="0" w:color="auto"/>
        <w:left w:val="none" w:sz="0" w:space="0" w:color="auto"/>
        <w:bottom w:val="none" w:sz="0" w:space="0" w:color="auto"/>
        <w:right w:val="none" w:sz="0" w:space="0" w:color="auto"/>
      </w:divBdr>
    </w:div>
    <w:div w:id="1931693330">
      <w:bodyDiv w:val="1"/>
      <w:marLeft w:val="0"/>
      <w:marRight w:val="0"/>
      <w:marTop w:val="0"/>
      <w:marBottom w:val="0"/>
      <w:divBdr>
        <w:top w:val="none" w:sz="0" w:space="0" w:color="auto"/>
        <w:left w:val="none" w:sz="0" w:space="0" w:color="auto"/>
        <w:bottom w:val="none" w:sz="0" w:space="0" w:color="auto"/>
        <w:right w:val="none" w:sz="0" w:space="0" w:color="auto"/>
      </w:divBdr>
    </w:div>
    <w:div w:id="2105611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mailto:tania.griskiene@vrm.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2EF389-741B-4A79-B7BB-20998C370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8831</Words>
  <Characters>5035</Characters>
  <Application>Microsoft Office Word</Application>
  <DocSecurity>8</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13839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 Šarkauskaitė</dc:creator>
  <cp:lastModifiedBy>EglePiskinaite</cp:lastModifiedBy>
  <cp:revision>1</cp:revision>
  <dcterms:created xsi:type="dcterms:W3CDTF">2025-04-07T12:54:00Z</dcterms:created>
  <dcterms:modified xsi:type="dcterms:W3CDTF">2025-04-07T12:54:00Z</dcterms:modified>
</cp:coreProperties>
</file>