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958" w:rsidRPr="00166185" w:rsidRDefault="00544958" w:rsidP="00544958">
      <w:pPr>
        <w:tabs>
          <w:tab w:val="left" w:pos="2565"/>
        </w:tabs>
      </w:pPr>
    </w:p>
    <w:p w:rsidR="00C54DA8" w:rsidRPr="0090281B" w:rsidRDefault="00C54DA8">
      <w:pPr>
        <w:overflowPunct w:val="0"/>
        <w:jc w:val="center"/>
        <w:textAlignment w:val="baseline"/>
        <w:rPr>
          <w:b/>
          <w:szCs w:val="24"/>
          <w:lang w:eastAsia="lt-LT"/>
        </w:rPr>
      </w:pPr>
    </w:p>
    <w:p w:rsidR="00C54DA8" w:rsidRPr="0090281B" w:rsidRDefault="00ED4735">
      <w:pPr>
        <w:tabs>
          <w:tab w:val="left" w:pos="14656"/>
        </w:tabs>
        <w:overflowPunct w:val="0"/>
        <w:jc w:val="center"/>
        <w:textAlignment w:val="baseline"/>
        <w:rPr>
          <w:szCs w:val="24"/>
          <w:lang w:eastAsia="lt-LT"/>
        </w:rPr>
      </w:pPr>
      <w:r>
        <w:rPr>
          <w:szCs w:val="24"/>
          <w:lang w:eastAsia="lt-LT"/>
        </w:rPr>
        <w:t xml:space="preserve">ŠIRVINTŲ RAJONO PEDAGOGINĖ PSICHOLOGINĖ TARNYBA </w:t>
      </w:r>
    </w:p>
    <w:p w:rsidR="008211FA" w:rsidRPr="0090281B" w:rsidRDefault="008211FA">
      <w:pPr>
        <w:tabs>
          <w:tab w:val="left" w:pos="14656"/>
        </w:tabs>
        <w:overflowPunct w:val="0"/>
        <w:jc w:val="center"/>
        <w:textAlignment w:val="baseline"/>
        <w:rPr>
          <w:szCs w:val="24"/>
          <w:lang w:eastAsia="lt-LT"/>
        </w:rPr>
      </w:pPr>
    </w:p>
    <w:p w:rsidR="00C54DA8" w:rsidRPr="0090281B" w:rsidRDefault="00E7286B">
      <w:pPr>
        <w:tabs>
          <w:tab w:val="left" w:pos="14656"/>
        </w:tabs>
        <w:overflowPunct w:val="0"/>
        <w:jc w:val="center"/>
        <w:textAlignment w:val="baseline"/>
        <w:rPr>
          <w:szCs w:val="24"/>
          <w:lang w:eastAsia="lt-LT"/>
        </w:rPr>
      </w:pPr>
      <w:r w:rsidRPr="0090281B">
        <w:rPr>
          <w:szCs w:val="24"/>
          <w:lang w:eastAsia="lt-LT"/>
        </w:rPr>
        <w:t>DAIVA VINCIŪNIENĖ</w:t>
      </w:r>
    </w:p>
    <w:p w:rsidR="008211FA" w:rsidRPr="0090281B" w:rsidRDefault="008211FA">
      <w:pPr>
        <w:overflowPunct w:val="0"/>
        <w:jc w:val="center"/>
        <w:textAlignment w:val="baseline"/>
        <w:rPr>
          <w:b/>
          <w:szCs w:val="24"/>
          <w:lang w:eastAsia="lt-LT"/>
        </w:rPr>
      </w:pPr>
    </w:p>
    <w:p w:rsidR="00C54DA8" w:rsidRPr="0090281B" w:rsidRDefault="003868F5">
      <w:pPr>
        <w:overflowPunct w:val="0"/>
        <w:jc w:val="center"/>
        <w:textAlignment w:val="baseline"/>
        <w:rPr>
          <w:b/>
          <w:szCs w:val="24"/>
          <w:lang w:eastAsia="lt-LT"/>
        </w:rPr>
      </w:pPr>
      <w:r w:rsidRPr="0090281B">
        <w:rPr>
          <w:b/>
          <w:szCs w:val="24"/>
          <w:lang w:eastAsia="lt-LT"/>
        </w:rPr>
        <w:t>METŲ VEIKLOS ATASKAITA</w:t>
      </w:r>
    </w:p>
    <w:p w:rsidR="00C54DA8" w:rsidRPr="0090281B" w:rsidRDefault="00C54DA8">
      <w:pPr>
        <w:overflowPunct w:val="0"/>
        <w:jc w:val="center"/>
        <w:textAlignment w:val="baseline"/>
        <w:rPr>
          <w:szCs w:val="24"/>
          <w:lang w:eastAsia="lt-LT"/>
        </w:rPr>
      </w:pPr>
    </w:p>
    <w:p w:rsidR="00C54DA8" w:rsidRPr="0090281B" w:rsidRDefault="008C04AE">
      <w:pPr>
        <w:overflowPunct w:val="0"/>
        <w:jc w:val="center"/>
        <w:textAlignment w:val="baseline"/>
        <w:rPr>
          <w:szCs w:val="24"/>
          <w:lang w:eastAsia="lt-LT"/>
        </w:rPr>
      </w:pPr>
      <w:r w:rsidRPr="0090281B">
        <w:rPr>
          <w:szCs w:val="24"/>
          <w:lang w:eastAsia="lt-LT"/>
        </w:rPr>
        <w:t>202</w:t>
      </w:r>
      <w:r w:rsidR="00317315" w:rsidRPr="0090281B">
        <w:rPr>
          <w:szCs w:val="24"/>
          <w:lang w:eastAsia="lt-LT"/>
        </w:rPr>
        <w:t>1-01-</w:t>
      </w:r>
      <w:r w:rsidR="00050B52" w:rsidRPr="0090281B">
        <w:rPr>
          <w:szCs w:val="24"/>
          <w:lang w:eastAsia="lt-LT"/>
        </w:rPr>
        <w:t>19</w:t>
      </w:r>
      <w:r w:rsidR="009D07F2" w:rsidRPr="0090281B">
        <w:rPr>
          <w:szCs w:val="24"/>
          <w:lang w:eastAsia="lt-LT"/>
        </w:rPr>
        <w:t xml:space="preserve"> </w:t>
      </w:r>
      <w:r w:rsidR="003868F5" w:rsidRPr="0090281B">
        <w:rPr>
          <w:szCs w:val="24"/>
          <w:lang w:eastAsia="lt-LT"/>
        </w:rPr>
        <w:t xml:space="preserve">Nr. ________ </w:t>
      </w:r>
    </w:p>
    <w:p w:rsidR="00C54DA8" w:rsidRPr="0090281B" w:rsidRDefault="00E7286B">
      <w:pPr>
        <w:tabs>
          <w:tab w:val="left" w:pos="3828"/>
        </w:tabs>
        <w:overflowPunct w:val="0"/>
        <w:jc w:val="center"/>
        <w:textAlignment w:val="baseline"/>
        <w:rPr>
          <w:szCs w:val="24"/>
          <w:lang w:eastAsia="lt-LT"/>
        </w:rPr>
      </w:pPr>
      <w:r w:rsidRPr="0090281B">
        <w:rPr>
          <w:szCs w:val="24"/>
          <w:lang w:eastAsia="lt-LT"/>
        </w:rPr>
        <w:t>Širvintos</w:t>
      </w:r>
    </w:p>
    <w:p w:rsidR="008211FA" w:rsidRPr="0090281B" w:rsidRDefault="008211FA">
      <w:pPr>
        <w:overflowPunct w:val="0"/>
        <w:jc w:val="center"/>
        <w:textAlignment w:val="baseline"/>
        <w:rPr>
          <w:b/>
          <w:szCs w:val="24"/>
          <w:lang w:eastAsia="lt-LT"/>
        </w:rPr>
      </w:pPr>
    </w:p>
    <w:p w:rsidR="00C54DA8" w:rsidRPr="0090281B" w:rsidRDefault="003868F5">
      <w:pPr>
        <w:overflowPunct w:val="0"/>
        <w:jc w:val="center"/>
        <w:textAlignment w:val="baseline"/>
        <w:rPr>
          <w:b/>
          <w:szCs w:val="24"/>
          <w:lang w:eastAsia="lt-LT"/>
        </w:rPr>
      </w:pPr>
      <w:r w:rsidRPr="0090281B">
        <w:rPr>
          <w:b/>
          <w:szCs w:val="24"/>
          <w:lang w:eastAsia="lt-LT"/>
        </w:rPr>
        <w:t>I SKYRIUS</w:t>
      </w:r>
    </w:p>
    <w:p w:rsidR="00C54DA8" w:rsidRPr="0090281B" w:rsidRDefault="003868F5">
      <w:pPr>
        <w:overflowPunct w:val="0"/>
        <w:jc w:val="center"/>
        <w:textAlignment w:val="baseline"/>
        <w:rPr>
          <w:b/>
          <w:szCs w:val="24"/>
          <w:lang w:eastAsia="lt-LT"/>
        </w:rPr>
      </w:pPr>
      <w:r w:rsidRPr="0090281B">
        <w:rPr>
          <w:b/>
          <w:szCs w:val="24"/>
          <w:lang w:eastAsia="lt-LT"/>
        </w:rPr>
        <w:t>STRATEGINIO PLANO IR METINIO VEIKLOS PLANO ĮGYVENDINIMAS</w:t>
      </w:r>
    </w:p>
    <w:p w:rsidR="00B96BAB" w:rsidRPr="0090281B" w:rsidRDefault="00B96BAB">
      <w:pPr>
        <w:overflowPunct w:val="0"/>
        <w:jc w:val="center"/>
        <w:textAlignment w:val="baseline"/>
        <w:rPr>
          <w:b/>
          <w:szCs w:val="24"/>
          <w:lang w:eastAsia="lt-LT"/>
        </w:rPr>
      </w:pPr>
    </w:p>
    <w:p w:rsidR="00C54DA8" w:rsidRPr="0090281B" w:rsidRDefault="00C54DA8">
      <w:pPr>
        <w:overflowPunct w:val="0"/>
        <w:jc w:val="center"/>
        <w:textAlignment w:val="baseline"/>
        <w:rPr>
          <w:b/>
          <w:sz w:val="2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C54DA8" w:rsidRPr="0090281B" w:rsidTr="007B6A26">
        <w:tc>
          <w:tcPr>
            <w:tcW w:w="9628" w:type="dxa"/>
          </w:tcPr>
          <w:p w:rsidR="00A72BD1" w:rsidRDefault="00A72BD1" w:rsidP="00F11181">
            <w:pPr>
              <w:ind w:firstLine="851"/>
              <w:jc w:val="both"/>
              <w:rPr>
                <w:color w:val="000000" w:themeColor="text1"/>
                <w:szCs w:val="24"/>
                <w:highlight w:val="yellow"/>
                <w:lang w:eastAsia="lt-LT"/>
              </w:rPr>
            </w:pPr>
          </w:p>
          <w:p w:rsidR="006F5E03" w:rsidRDefault="006F5E03" w:rsidP="006F5E03">
            <w:pPr>
              <w:pStyle w:val="Porat1"/>
              <w:spacing w:line="276" w:lineRule="auto"/>
              <w:ind w:firstLine="851"/>
              <w:jc w:val="both"/>
              <w:rPr>
                <w:color w:val="auto"/>
                <w:lang w:val="lt-LT" w:eastAsia="hi-IN" w:bidi="hi-IN"/>
              </w:rPr>
            </w:pPr>
            <w:r w:rsidRPr="004E2AFB">
              <w:rPr>
                <w:color w:val="auto"/>
                <w:lang w:val="lt-LT" w:eastAsia="hi-IN" w:bidi="hi-IN"/>
              </w:rPr>
              <w:t>Pedagoginės p</w:t>
            </w:r>
            <w:r>
              <w:rPr>
                <w:color w:val="auto"/>
                <w:lang w:val="lt-LT" w:eastAsia="hi-IN" w:bidi="hi-IN"/>
              </w:rPr>
              <w:t xml:space="preserve">sichologinės tarnybos veikla </w:t>
            </w:r>
            <w:r w:rsidRPr="002B25CA">
              <w:rPr>
                <w:color w:val="auto"/>
                <w:lang w:val="lt-LT" w:eastAsia="hi-IN" w:bidi="hi-IN"/>
              </w:rPr>
              <w:t>2020</w:t>
            </w:r>
            <w:r w:rsidRPr="004E2AFB">
              <w:rPr>
                <w:color w:val="auto"/>
                <w:lang w:val="lt-LT" w:eastAsia="hi-IN" w:bidi="hi-IN"/>
              </w:rPr>
              <w:t xml:space="preserve"> metais buvo organizuojama vadovaujantis Širvintų rajono pedagoginės psichologinės tarnybos 2019–2023 metų strateginiu planu, patvirtintu Širvintų rajono pedagoginės psichologinės tarnybos direktoriaus 2019 m. sausio 16 d. įsakymu Nr. V1-3 „Dėl 2019–2023 metų strateginio plano tvirtinimo“, ir </w:t>
            </w:r>
            <w:r w:rsidRPr="002B25CA">
              <w:rPr>
                <w:color w:val="auto"/>
                <w:lang w:val="lt-LT" w:eastAsia="hi-IN" w:bidi="hi-IN"/>
              </w:rPr>
              <w:t>2020</w:t>
            </w:r>
            <w:r w:rsidRPr="004E2AFB">
              <w:rPr>
                <w:color w:val="auto"/>
                <w:lang w:val="lt-LT" w:eastAsia="hi-IN" w:bidi="hi-IN"/>
              </w:rPr>
              <w:t xml:space="preserve"> metų veiklos planu, patvirtintu Širvintų rajono pedagoginės psichologinės tarnybos direktoriaus </w:t>
            </w:r>
            <w:r w:rsidRPr="002B25CA">
              <w:rPr>
                <w:color w:val="auto"/>
                <w:lang w:val="lt-LT" w:eastAsia="hi-IN" w:bidi="hi-IN"/>
              </w:rPr>
              <w:t>2019 m. gruodžio 20</w:t>
            </w:r>
            <w:r>
              <w:rPr>
                <w:color w:val="auto"/>
                <w:lang w:val="lt-LT" w:eastAsia="hi-IN" w:bidi="hi-IN"/>
              </w:rPr>
              <w:t xml:space="preserve"> d. įsakymu </w:t>
            </w:r>
            <w:r w:rsidRPr="002B25CA">
              <w:rPr>
                <w:color w:val="auto"/>
                <w:lang w:val="lt-LT" w:eastAsia="hi-IN" w:bidi="hi-IN"/>
              </w:rPr>
              <w:t>Nr. V1-37</w:t>
            </w:r>
            <w:r>
              <w:rPr>
                <w:color w:val="auto"/>
                <w:lang w:val="lt-LT" w:eastAsia="hi-IN" w:bidi="hi-IN"/>
              </w:rPr>
              <w:t xml:space="preserve"> „Dėl 2020</w:t>
            </w:r>
            <w:r w:rsidRPr="004E2AFB">
              <w:rPr>
                <w:color w:val="auto"/>
                <w:lang w:val="lt-LT" w:eastAsia="hi-IN" w:bidi="hi-IN"/>
              </w:rPr>
              <w:t xml:space="preserve"> metų veiklos plano tvirtinimo“.</w:t>
            </w:r>
          </w:p>
          <w:p w:rsidR="006F5E03" w:rsidRPr="00856C57" w:rsidRDefault="006F5E03" w:rsidP="006F5E03">
            <w:pPr>
              <w:pStyle w:val="Porat1"/>
              <w:spacing w:line="276" w:lineRule="auto"/>
              <w:ind w:firstLine="851"/>
              <w:jc w:val="both"/>
              <w:rPr>
                <w:color w:val="auto"/>
                <w:lang w:val="lt-LT" w:eastAsia="hi-IN" w:bidi="hi-IN"/>
              </w:rPr>
            </w:pPr>
            <w:r w:rsidRPr="004E2AFB">
              <w:rPr>
                <w:color w:val="auto"/>
                <w:lang w:val="lt-LT" w:eastAsia="hi-IN" w:bidi="hi-IN"/>
              </w:rPr>
              <w:t>Įgyvendinant Pedagoginės psichologinės tarnybos 2019–2023 metų strateginiame ir 20</w:t>
            </w:r>
            <w:r>
              <w:rPr>
                <w:color w:val="auto"/>
                <w:lang w:val="lt-LT" w:eastAsia="hi-IN" w:bidi="hi-IN"/>
              </w:rPr>
              <w:t>20</w:t>
            </w:r>
            <w:r w:rsidRPr="004E2AFB">
              <w:rPr>
                <w:color w:val="auto"/>
                <w:lang w:val="lt-LT" w:eastAsia="hi-IN" w:bidi="hi-IN"/>
              </w:rPr>
              <w:t xml:space="preserve"> metų veiklos planuose numatytus tikslus didelis dėmesys </w:t>
            </w:r>
            <w:r w:rsidRPr="00ED426B">
              <w:rPr>
                <w:color w:val="auto"/>
                <w:lang w:val="lt-LT" w:eastAsia="hi-IN" w:bidi="hi-IN"/>
              </w:rPr>
              <w:t xml:space="preserve">skirtas </w:t>
            </w:r>
            <w:r w:rsidRPr="002B25CA">
              <w:rPr>
                <w:color w:val="auto"/>
                <w:lang w:val="lt-LT" w:eastAsia="hi-IN" w:bidi="hi-IN"/>
              </w:rPr>
              <w:t xml:space="preserve">švietimo pagalbos paslaugų teikimui nuotoliniu ir tiesioginiu būdu, bendradarbiavimui su </w:t>
            </w:r>
            <w:r w:rsidRPr="002B25CA">
              <w:rPr>
                <w:color w:val="auto"/>
                <w:lang w:val="lt-LT"/>
              </w:rPr>
              <w:t>ugdymo įstaigomis ir kitomis vaiko gerovės srityje dirbančiomis institucijomis</w:t>
            </w:r>
            <w:r w:rsidRPr="002B25CA">
              <w:rPr>
                <w:color w:val="auto"/>
                <w:lang w:val="lt-LT" w:eastAsia="hi-IN" w:bidi="hi-IN"/>
              </w:rPr>
              <w:t>, metodinei, švietėjiškai veiklai</w:t>
            </w:r>
            <w:r>
              <w:rPr>
                <w:color w:val="auto"/>
                <w:lang w:val="lt-LT" w:eastAsia="hi-IN" w:bidi="hi-IN"/>
              </w:rPr>
              <w:t xml:space="preserve">. </w:t>
            </w:r>
            <w:r w:rsidRPr="004E2AFB">
              <w:rPr>
                <w:color w:val="auto"/>
                <w:lang w:val="lt-LT" w:eastAsia="hi-IN" w:bidi="hi-IN"/>
              </w:rPr>
              <w:t>Pedagoginė psichologinė tarnyba savo veiklą grindžia Lietuvos Respublikos švietimo ir mokslo ministro 2017 m. rugpjūčio 30 d. įsakyme Nr. V-662 „Dėl pedagoginių psichologinių tarnybų darbo organizavimo tvarkos aprašo patvirtinimo“ patvirtintais principais:</w:t>
            </w:r>
            <w:r w:rsidRPr="004E2AFB">
              <w:rPr>
                <w:color w:val="auto"/>
                <w:lang w:val="lt-LT"/>
              </w:rPr>
              <w:t xml:space="preserve"> </w:t>
            </w:r>
            <w:r w:rsidRPr="004E2AFB">
              <w:rPr>
                <w:color w:val="auto"/>
                <w:lang w:val="lt-LT" w:eastAsia="hi-IN" w:bidi="hi-IN"/>
              </w:rPr>
              <w:t>konfidencialumo, skaidrumo, profesionalumo, nešališkumo priimant sprendimus ir kt. Dėl konfidencialumo vaikai ir tėvai drąsiai kreipiasi pagalbos į specialistus, nes informacija apie jų apsilankymą ir turimas problemas yra konfidenciali.</w:t>
            </w:r>
          </w:p>
          <w:p w:rsidR="006F5E03" w:rsidRPr="00F52F1F" w:rsidRDefault="006F5E03" w:rsidP="006F5E03">
            <w:pPr>
              <w:spacing w:line="276" w:lineRule="auto"/>
              <w:ind w:firstLine="851"/>
              <w:jc w:val="both"/>
              <w:rPr>
                <w:strike/>
                <w:szCs w:val="24"/>
              </w:rPr>
            </w:pPr>
            <w:r w:rsidRPr="004E2AFB">
              <w:rPr>
                <w:szCs w:val="24"/>
              </w:rPr>
              <w:t>Teikiant profesionalią psichologinę, specialiąją pedagoginę pagalbą buvo atl</w:t>
            </w:r>
            <w:r>
              <w:rPr>
                <w:szCs w:val="24"/>
              </w:rPr>
              <w:t>ikta</w:t>
            </w:r>
            <w:r w:rsidRPr="004E2AFB">
              <w:rPr>
                <w:szCs w:val="24"/>
              </w:rPr>
              <w:t xml:space="preserve"> </w:t>
            </w:r>
            <w:r w:rsidRPr="00F52F1F">
              <w:rPr>
                <w:szCs w:val="24"/>
              </w:rPr>
              <w:t>30</w:t>
            </w:r>
            <w:r w:rsidRPr="004E2AFB">
              <w:rPr>
                <w:szCs w:val="24"/>
              </w:rPr>
              <w:t xml:space="preserve"> mokinių </w:t>
            </w:r>
            <w:r w:rsidRPr="00F52F1F">
              <w:rPr>
                <w:szCs w:val="24"/>
              </w:rPr>
              <w:t>įvertinimų</w:t>
            </w:r>
            <w:r w:rsidRPr="004E2AFB">
              <w:rPr>
                <w:szCs w:val="24"/>
              </w:rPr>
              <w:t xml:space="preserve"> specialiųjų ugdymosi poreikių pedagoginiu, psichologiniu, medicininiu ir socialiniu pedagoginiu aspektais. </w:t>
            </w:r>
            <w:r w:rsidRPr="004E2AFB">
              <w:t>Pedagoginės psichologinės tarnybos</w:t>
            </w:r>
            <w:r w:rsidR="00812FB4">
              <w:rPr>
                <w:szCs w:val="24"/>
              </w:rPr>
              <w:t xml:space="preserve"> specialistai teikė</w:t>
            </w:r>
            <w:r w:rsidRPr="004E2AFB">
              <w:rPr>
                <w:szCs w:val="24"/>
              </w:rPr>
              <w:t xml:space="preserve"> kompleksinę pagalbą. Atlikę įvertinimą rezultatus aptarė su tėvais (globėjais, rūpintojais), vaiką ugdančiais pedagogais ir </w:t>
            </w:r>
            <w:r>
              <w:rPr>
                <w:szCs w:val="24"/>
              </w:rPr>
              <w:t>v</w:t>
            </w:r>
            <w:r w:rsidRPr="00B9701D">
              <w:rPr>
                <w:szCs w:val="24"/>
              </w:rPr>
              <w:t>aiko gerovės komisijos nariais</w:t>
            </w:r>
            <w:r w:rsidRPr="004E2AFB">
              <w:rPr>
                <w:szCs w:val="24"/>
              </w:rPr>
              <w:t>, skyrė specialųjį ugdymąsi, pateikė raštu rekomendacijas, orientuotas į konkretaus vaiko individualių poreikių tenkinimą ir specialiojo ugdymo skyrimą</w:t>
            </w:r>
            <w:r>
              <w:rPr>
                <w:szCs w:val="24"/>
              </w:rPr>
              <w:t>.</w:t>
            </w:r>
          </w:p>
          <w:p w:rsidR="006F5E03" w:rsidRPr="00A40EE6" w:rsidRDefault="006F5E03" w:rsidP="006F5E03">
            <w:pPr>
              <w:spacing w:line="276" w:lineRule="auto"/>
              <w:ind w:firstLine="851"/>
              <w:jc w:val="both"/>
              <w:rPr>
                <w:szCs w:val="24"/>
              </w:rPr>
            </w:pPr>
            <w:r w:rsidRPr="004E2AFB">
              <w:t xml:space="preserve">Pedagoginės psichologinės tarnybos specialistai, bendradarbiaudami </w:t>
            </w:r>
            <w:r>
              <w:t>su M</w:t>
            </w:r>
            <w:r w:rsidRPr="004E2AFB">
              <w:t>okyklų vaiko gerovės komisijomis ir atsižvelgdami į mokinių, turinčių specialiųjų ugdymosi poreikių padarytą pažangą, tikslino mokinių pažymas apie specialiojo ugdymosi ir (ar) švietimo pagalbos skyrimą.</w:t>
            </w:r>
            <w:r w:rsidRPr="004E2AFB">
              <w:rPr>
                <w:color w:val="FF0000"/>
              </w:rPr>
              <w:t xml:space="preserve"> </w:t>
            </w:r>
          </w:p>
          <w:p w:rsidR="006F5E03" w:rsidRPr="004E2AFB" w:rsidRDefault="006F5E03" w:rsidP="006F5E03">
            <w:pPr>
              <w:pStyle w:val="prastasiniatinklio"/>
              <w:spacing w:before="0" w:beforeAutospacing="0" w:after="0" w:afterAutospacing="0" w:line="276" w:lineRule="auto"/>
              <w:ind w:firstLine="851"/>
              <w:jc w:val="both"/>
              <w:rPr>
                <w:color w:val="FF0000"/>
              </w:rPr>
            </w:pPr>
            <w:r w:rsidRPr="004E2AFB">
              <w:t>Vadovaujantis Pagrindinio ugdymo pasiekimų patikrinimo, kalbų įskaitų, brandos egzaminų užduoties formos, vykdymo ir vertinimo instrukcijų pritaikymo mokiniams, buvusiems mokiniams ir eksternams, turintiems specialiųjų ugdymosi poreikių, tvarkos aprašu, patvirtintu Lietuvos Respublikos švietimo ir mokslo ministro 2018 m. gruodžio 7 d. sprendimu Nr. V-1008,</w:t>
            </w:r>
            <w:r w:rsidRPr="004E2AFB">
              <w:rPr>
                <w:color w:val="FF0000"/>
              </w:rPr>
              <w:t xml:space="preserve"> </w:t>
            </w:r>
            <w:r w:rsidRPr="004E2AFB">
              <w:t xml:space="preserve">parengtos </w:t>
            </w:r>
            <w:r w:rsidRPr="00F52F1F">
              <w:t>8</w:t>
            </w:r>
            <w:r w:rsidRPr="004E2AFB">
              <w:t xml:space="preserve"> pažymos IV gimnazijos klasių mokiniams, kuriems reikalingi lietuvių kalbos ir literatūros įskaitos, brandos egzaminų užduoties formos, vykdymo ir vertinimo instrukcijų </w:t>
            </w:r>
            <w:r w:rsidRPr="004E2AFB">
              <w:lastRenderedPageBreak/>
              <w:t xml:space="preserve">pritaikymai ir </w:t>
            </w:r>
            <w:r w:rsidRPr="00F629D1">
              <w:t>9</w:t>
            </w:r>
            <w:r>
              <w:t xml:space="preserve"> pažymos</w:t>
            </w:r>
            <w:r w:rsidRPr="004E2AFB">
              <w:t xml:space="preserve"> </w:t>
            </w:r>
            <w:r>
              <w:t>II gimnazijos</w:t>
            </w:r>
            <w:r w:rsidRPr="004E2AFB">
              <w:t xml:space="preserve"> klasių mokiniams, kuriems reikalingi pagrindinio ugdymo pasiekimų patikrinimo pritaikymai.</w:t>
            </w:r>
            <w:r>
              <w:t xml:space="preserve"> </w:t>
            </w:r>
          </w:p>
          <w:p w:rsidR="006F5E03" w:rsidRPr="00435D96" w:rsidRDefault="006F5E03" w:rsidP="006F5E03">
            <w:pPr>
              <w:pStyle w:val="prastasiniatinklio"/>
              <w:spacing w:before="0" w:beforeAutospacing="0" w:after="0" w:afterAutospacing="0" w:line="276" w:lineRule="auto"/>
              <w:ind w:firstLine="851"/>
              <w:jc w:val="both"/>
              <w:rPr>
                <w:lang w:eastAsia="hi-IN" w:bidi="hi-IN"/>
              </w:rPr>
            </w:pPr>
            <w:r w:rsidRPr="004E2AFB">
              <w:t>Pedago</w:t>
            </w:r>
            <w:r w:rsidRPr="002877BB">
              <w:t xml:space="preserve">ginės psichologinės tarnybos specialistai nuolat teikė konsultacijas mokiniams, tėvams (globėjams, rūpintojams), mokytojams, švietimo pagalbos specialistams vertinimo, specialiosios pedagoginės, psichologinės pagalbos teikimo, ugdymo organizavimo klausimais, </w:t>
            </w:r>
            <w:r>
              <w:t>esant reikalui</w:t>
            </w:r>
            <w:r w:rsidRPr="002877BB">
              <w:t xml:space="preserve"> buvo konsultuojamasi su Švietimo, mokslo ir sporto ministerijos, Nacionalinės švietimo agentūros specialistais (toliau – NŠA), remiamasi jų rekomendacijomis. Suteiktos 259 konsultacijos. Atsižvelgdami į pas</w:t>
            </w:r>
            <w:r>
              <w:t>ikeitusias konsultavimo sąlygas</w:t>
            </w:r>
            <w:r w:rsidRPr="002877BB">
              <w:t xml:space="preserve"> specialistai teikė pagalbą įvairiomis ryšio priemonėmis</w:t>
            </w:r>
            <w:r w:rsidR="00C01D25">
              <w:t>, naudodamiesi vaizdo konferencijų platformomis</w:t>
            </w:r>
            <w:r w:rsidRPr="002877BB">
              <w:t xml:space="preserve"> (telefonu, elektroniniu paštu, Skype, Messenger, Zoom ir kt).</w:t>
            </w:r>
            <w:r w:rsidRPr="00435D96">
              <w:t xml:space="preserve"> </w:t>
            </w:r>
          </w:p>
          <w:p w:rsidR="006F5E03" w:rsidRPr="004E2AFB" w:rsidRDefault="006F5E03" w:rsidP="006F5E03">
            <w:pPr>
              <w:pStyle w:val="prastasiniatinklio"/>
              <w:spacing w:before="0" w:beforeAutospacing="0" w:after="0" w:afterAutospacing="0" w:line="276" w:lineRule="auto"/>
              <w:ind w:firstLine="851"/>
              <w:jc w:val="both"/>
              <w:rPr>
                <w:lang w:eastAsia="hi-IN" w:bidi="hi-IN"/>
              </w:rPr>
            </w:pPr>
            <w:r w:rsidRPr="004E2AFB">
              <w:t xml:space="preserve">Pedagoginės psichologinės tarnybos </w:t>
            </w:r>
            <w:r w:rsidRPr="004E2AFB">
              <w:rPr>
                <w:lang w:eastAsia="hi-IN" w:bidi="hi-IN"/>
              </w:rPr>
              <w:t>interneto svetainėje operatyviai skelbiama</w:t>
            </w:r>
            <w:r w:rsidRPr="00684E0D">
              <w:rPr>
                <w:lang w:eastAsia="hi-IN" w:bidi="hi-IN"/>
              </w:rPr>
              <w:t xml:space="preserve"> </w:t>
            </w:r>
            <w:r w:rsidRPr="009D54C8">
              <w:rPr>
                <w:lang w:eastAsia="hi-IN" w:bidi="hi-IN"/>
              </w:rPr>
              <w:t>aktuali informacija apie vaikų specialųjį ugdymą, specialiųjų ugdymosi poreikių įvertinimą, specialistų t</w:t>
            </w:r>
            <w:r>
              <w:rPr>
                <w:lang w:eastAsia="hi-IN" w:bidi="hi-IN"/>
              </w:rPr>
              <w:t>eikiamas paslaugas</w:t>
            </w:r>
            <w:r w:rsidRPr="00790A7F">
              <w:rPr>
                <w:lang w:eastAsia="hi-IN" w:bidi="hi-IN"/>
              </w:rPr>
              <w:t xml:space="preserve">. Atsižvelgus į </w:t>
            </w:r>
            <w:r>
              <w:rPr>
                <w:lang w:eastAsia="hi-IN" w:bidi="hi-IN"/>
              </w:rPr>
              <w:t>socialinio tinklo „</w:t>
            </w:r>
            <w:r w:rsidRPr="00790A7F">
              <w:rPr>
                <w:lang w:eastAsia="hi-IN" w:bidi="hi-IN"/>
              </w:rPr>
              <w:t>Facebook</w:t>
            </w:r>
            <w:r>
              <w:rPr>
                <w:lang w:eastAsia="hi-IN" w:bidi="hi-IN"/>
              </w:rPr>
              <w:t>“</w:t>
            </w:r>
            <w:r w:rsidRPr="00790A7F">
              <w:rPr>
                <w:lang w:eastAsia="hi-IN" w:bidi="hi-IN"/>
              </w:rPr>
              <w:t xml:space="preserve"> populiarumą</w:t>
            </w:r>
            <w:r>
              <w:rPr>
                <w:lang w:eastAsia="hi-IN" w:bidi="hi-IN"/>
              </w:rPr>
              <w:t xml:space="preserve"> ir prieinamumą</w:t>
            </w:r>
            <w:r w:rsidRPr="00790A7F">
              <w:rPr>
                <w:lang w:eastAsia="hi-IN" w:bidi="hi-IN"/>
              </w:rPr>
              <w:t xml:space="preserve"> buvo sukurtas </w:t>
            </w:r>
            <w:r w:rsidRPr="00790A7F">
              <w:t>Pedagoginės psichologinės tarnybos puslapis, kuriame nuolat atnaujinama aktuali informacija apie</w:t>
            </w:r>
            <w:r w:rsidR="001A15A2">
              <w:t xml:space="preserve"> specialiųjų ugdymosi poreikių vaikų ugdymą,</w:t>
            </w:r>
            <w:r w:rsidRPr="00790A7F">
              <w:t xml:space="preserve"> </w:t>
            </w:r>
            <w:r w:rsidRPr="00790A7F">
              <w:rPr>
                <w:lang w:eastAsia="hi-IN" w:bidi="hi-IN"/>
              </w:rPr>
              <w:t>pagalbą nuotoliniame mokyme, dalinamasi naudingomis nuorodomis. Sistemingai skleidžiama aktuali informacija</w:t>
            </w:r>
            <w:r w:rsidRPr="004E2AFB">
              <w:rPr>
                <w:lang w:eastAsia="hi-IN" w:bidi="hi-IN"/>
              </w:rPr>
              <w:t xml:space="preserve"> ne tik švietimo bendruomenei, bet ir visai Širvintų rajono bendruomenei.</w:t>
            </w:r>
            <w:r>
              <w:rPr>
                <w:lang w:eastAsia="hi-IN" w:bidi="hi-IN"/>
              </w:rPr>
              <w:t xml:space="preserve"> </w:t>
            </w:r>
          </w:p>
          <w:p w:rsidR="006F5E03" w:rsidRPr="00CA3B4D" w:rsidRDefault="006F5E03" w:rsidP="006F5E03">
            <w:pPr>
              <w:pStyle w:val="prastasiniatinklio"/>
              <w:spacing w:before="0" w:beforeAutospacing="0" w:after="0" w:afterAutospacing="0" w:line="276" w:lineRule="auto"/>
              <w:ind w:firstLine="851"/>
              <w:jc w:val="both"/>
              <w:rPr>
                <w:color w:val="FF0000"/>
              </w:rPr>
            </w:pPr>
            <w:r w:rsidRPr="00A44AA4">
              <w:rPr>
                <w:lang w:eastAsia="hi-IN" w:bidi="hi-IN"/>
              </w:rPr>
              <w:t xml:space="preserve">Gerinant pedagogų ir švietimo pagalbos specialistų pasirengimą įtraukčiai švietime pedagoginės psichologinės tarnybos specialistai skaitė </w:t>
            </w:r>
            <w:r w:rsidRPr="00A44AA4">
              <w:t>nuotolinius</w:t>
            </w:r>
            <w:r w:rsidRPr="00A44AA4">
              <w:rPr>
                <w:lang w:eastAsia="hi-IN" w:bidi="hi-IN"/>
              </w:rPr>
              <w:t xml:space="preserve"> pranešimus, paskaitas apie darbą su specialiųjų ugdymosi poreikių turinčiais vaikais.</w:t>
            </w:r>
            <w:r>
              <w:rPr>
                <w:color w:val="FF0000"/>
                <w:lang w:eastAsia="hi-IN" w:bidi="hi-IN"/>
              </w:rPr>
              <w:t xml:space="preserve"> </w:t>
            </w:r>
            <w:r w:rsidRPr="004E2AFB">
              <w:rPr>
                <w:lang w:eastAsia="hi-IN" w:bidi="hi-IN"/>
              </w:rPr>
              <w:t xml:space="preserve">Pedagoginės psichologinės tarnybos specialistai </w:t>
            </w:r>
            <w:r w:rsidRPr="00684E0D">
              <w:rPr>
                <w:lang w:eastAsia="hi-IN" w:bidi="hi-IN"/>
              </w:rPr>
              <w:t>2020</w:t>
            </w:r>
            <w:r w:rsidRPr="004E2AFB">
              <w:rPr>
                <w:lang w:eastAsia="hi-IN" w:bidi="hi-IN"/>
              </w:rPr>
              <w:t xml:space="preserve"> metais aktyviai vykdė šviečiamąją veiklą. Vadovaujantis </w:t>
            </w:r>
            <w:r w:rsidRPr="004E2AFB">
              <w:t xml:space="preserve">Lietuvos Respublikos švietimo, mokslo ir sporto ministro 2019 m. liepos 16 d. įsakymu Nr. V-831 „Dėl reikalavimų mokytojų kvalifikacijai aprašo patvirtinimo“ </w:t>
            </w:r>
            <w:r w:rsidRPr="004E2AFB">
              <w:rPr>
                <w:lang w:eastAsia="hi-IN" w:bidi="hi-IN"/>
              </w:rPr>
              <w:t xml:space="preserve">Pedagoginės psichologinės tarnybos specialistai </w:t>
            </w:r>
            <w:r w:rsidRPr="004E2AFB">
              <w:t>vedė rajono pedagogams</w:t>
            </w:r>
            <w:r w:rsidRPr="004E2AFB">
              <w:rPr>
                <w:lang w:eastAsia="hi-IN" w:bidi="hi-IN"/>
              </w:rPr>
              <w:t xml:space="preserve"> Specialiosios pedagogikos ir specialiosios psichologijos kursus. Šia galimybe pasinaudojo </w:t>
            </w:r>
            <w:r w:rsidRPr="007C4FA3">
              <w:rPr>
                <w:lang w:eastAsia="hi-IN" w:bidi="hi-IN"/>
              </w:rPr>
              <w:t>36</w:t>
            </w:r>
            <w:r w:rsidRPr="004E2AFB">
              <w:rPr>
                <w:lang w:eastAsia="hi-IN" w:bidi="hi-IN"/>
              </w:rPr>
              <w:t xml:space="preserve"> pedagogai. Kursų metu įgytos žinios padės pedagogams </w:t>
            </w:r>
            <w:r w:rsidRPr="007C4FA3">
              <w:rPr>
                <w:lang w:eastAsia="hi-IN" w:bidi="hi-IN"/>
              </w:rPr>
              <w:t>kokybiškiau</w:t>
            </w:r>
            <w:r w:rsidRPr="004E2AFB">
              <w:rPr>
                <w:lang w:eastAsia="hi-IN" w:bidi="hi-IN"/>
              </w:rPr>
              <w:t xml:space="preserve"> tenkinti mokinių, turinčių specialiųjų ugdymosi poreikių, reikmes. </w:t>
            </w:r>
            <w:r w:rsidRPr="009170E6">
              <w:t xml:space="preserve">Pedagoginė psichologinė tarnyba parengė seminarą „Vaikų emocinės gerovės užtikrinimas ugdymo įstaigoje". </w:t>
            </w:r>
            <w:r w:rsidRPr="009170E6">
              <w:rPr>
                <w:szCs w:val="17"/>
                <w:shd w:val="clear" w:color="auto" w:fill="FFFFFF"/>
              </w:rPr>
              <w:t>Seminaro tikslas</w:t>
            </w:r>
            <w:r w:rsidRPr="009170E6">
              <w:rPr>
                <w:rStyle w:val="Emfaz"/>
                <w:szCs w:val="17"/>
                <w:shd w:val="clear" w:color="auto" w:fill="FFFFFF"/>
              </w:rPr>
              <w:t> – </w:t>
            </w:r>
            <w:r w:rsidRPr="009170E6">
              <w:rPr>
                <w:szCs w:val="17"/>
                <w:shd w:val="clear" w:color="auto" w:fill="FFFFFF"/>
              </w:rPr>
              <w:t>padėti Meno mokyklos bendruomenei užtikrinti vaikų emocinę gerovę, kuri prasideda nuo geros mo</w:t>
            </w:r>
            <w:r w:rsidR="001A15A2">
              <w:rPr>
                <w:szCs w:val="17"/>
                <w:shd w:val="clear" w:color="auto" w:fill="FFFFFF"/>
              </w:rPr>
              <w:t>kytojų savijautos. Seminare</w:t>
            </w:r>
            <w:r w:rsidRPr="009170E6">
              <w:rPr>
                <w:szCs w:val="17"/>
                <w:shd w:val="clear" w:color="auto" w:fill="FFFFFF"/>
              </w:rPr>
              <w:t xml:space="preserve"> buvo kalbama apie streso, susijusio su pasikeitusiomis darbo sąlygomis, valdymą, saugios aplinkos kūrimą, apie bendravimą ir bendradarbiavimą su mokiniais ir jų tėvais.</w:t>
            </w:r>
            <w:r w:rsidRPr="009170E6">
              <w:rPr>
                <w:rFonts w:ascii="Arial" w:hAnsi="Arial" w:cs="Arial"/>
                <w:color w:val="666666"/>
                <w:szCs w:val="17"/>
                <w:shd w:val="clear" w:color="auto" w:fill="FFFFFF"/>
              </w:rPr>
              <w:t xml:space="preserve"> </w:t>
            </w:r>
            <w:r w:rsidRPr="009170E6">
              <w:t>Gelvonų gimnazijos bendruomenei buvo surengtas seminaras „Emocinė sveik</w:t>
            </w:r>
            <w:r w:rsidR="001A15A2">
              <w:t>ata nuotolinio darbo sąlygomis“.  Seminaro</w:t>
            </w:r>
            <w:r w:rsidRPr="009170E6">
              <w:t xml:space="preserve"> dalyviai </w:t>
            </w:r>
            <w:r w:rsidR="001A15A2" w:rsidRPr="009170E6">
              <w:t xml:space="preserve">susipažino </w:t>
            </w:r>
            <w:r w:rsidR="001A15A2">
              <w:t xml:space="preserve">su </w:t>
            </w:r>
            <w:r w:rsidRPr="009170E6">
              <w:t>nuotoli</w:t>
            </w:r>
            <w:r w:rsidR="001A15A2">
              <w:t xml:space="preserve">nio darbo organizavimo principais, streso valdymo būdais, kalbėjosi apie </w:t>
            </w:r>
            <w:r w:rsidR="001A15A2" w:rsidRPr="009170E6">
              <w:t>emocinę sveikatą</w:t>
            </w:r>
            <w:r w:rsidR="001A15A2">
              <w:t>.</w:t>
            </w:r>
            <w:r w:rsidR="001A15A2" w:rsidRPr="009170E6">
              <w:t xml:space="preserve"> </w:t>
            </w:r>
            <w:r w:rsidRPr="009170E6">
              <w:rPr>
                <w:lang w:eastAsia="hi-IN" w:bidi="hi-IN"/>
              </w:rPr>
              <w:t xml:space="preserve">Pedagoginės psichologinės tarnybos specialistai </w:t>
            </w:r>
            <w:r w:rsidRPr="009170E6">
              <w:t>NŠA organizuotoje mokymo nuotoliniu būdu refleksijoje „Švietimo pagalbos užtikrinimas ir švietimui skirtų išteklių valdymo ir sisteminimo galimybės nuotolinio darbo metu“ dalijosi darbo patirtimi ir skaitė pranešimą „Tarpdalykinis (projektinis) mokymas“.</w:t>
            </w:r>
            <w:r w:rsidRPr="00C17E7B">
              <w:t xml:space="preserve"> </w:t>
            </w:r>
            <w:r w:rsidR="001A15A2">
              <w:t>2020-uosius metus Lietuvos Respublikos</w:t>
            </w:r>
            <w:r w:rsidRPr="00CA3B4D">
              <w:t xml:space="preserve"> Seimas Sveikatos apsaugos ministerijos iniciatyva paskelbė Vaikų emocinės gerovės metais. </w:t>
            </w:r>
            <w:r w:rsidRPr="00CA3B4D">
              <w:rPr>
                <w:lang w:eastAsia="hi-IN" w:bidi="hi-IN"/>
              </w:rPr>
              <w:t>Pedagoginės psichologinės tarnybo</w:t>
            </w:r>
            <w:r w:rsidR="001A15A2">
              <w:rPr>
                <w:lang w:eastAsia="hi-IN" w:bidi="hi-IN"/>
              </w:rPr>
              <w:t>s specialistai surengė nuotolinį</w:t>
            </w:r>
            <w:r w:rsidRPr="00CA3B4D">
              <w:rPr>
                <w:lang w:eastAsia="hi-IN" w:bidi="hi-IN"/>
              </w:rPr>
              <w:t xml:space="preserve"> </w:t>
            </w:r>
            <w:r w:rsidR="001A15A2">
              <w:t>vaikų kūrybinių darbų konkursą</w:t>
            </w:r>
            <w:r w:rsidRPr="00CA3B4D">
              <w:t xml:space="preserve"> „Gerai jaučiamės kartu, kai...“</w:t>
            </w:r>
            <w:r w:rsidRPr="00CA3B4D">
              <w:rPr>
                <w:lang w:eastAsia="hi-IN" w:bidi="hi-IN"/>
              </w:rPr>
              <w:t>. Konkursui darbus atsiuntė daugiau kaip 30 skirtingo amžiaus vaikų.</w:t>
            </w:r>
            <w:r w:rsidRPr="00CA3B4D">
              <w:t xml:space="preserve"> </w:t>
            </w:r>
            <w:r w:rsidRPr="00CA3B4D">
              <w:rPr>
                <w:lang w:eastAsia="hi-IN" w:bidi="hi-IN"/>
              </w:rPr>
              <w:t>Pedagoginės psichologinės tarnybos specialistai kartu su Lietuvos suaugusiųjų švietimo asociacijos vienijamomis organizacijomis lapkričio 14-22 dienomis kvietė dalyvauti 21-oje suaugusiųjų mokymosi savaitėje „Susitikime mokytis. Kartu mes galim“. Šios savaitės tikslas – atkreipti dėmesį į bendradarbiavimą mokymosi sėkmei patirti.</w:t>
            </w:r>
            <w:r w:rsidRPr="00B64897">
              <w:rPr>
                <w:lang w:eastAsia="hi-IN" w:bidi="hi-IN"/>
              </w:rPr>
              <w:t xml:space="preserve"> </w:t>
            </w:r>
          </w:p>
          <w:p w:rsidR="006F5E03" w:rsidRDefault="006F5E03" w:rsidP="006F5E03">
            <w:pPr>
              <w:pStyle w:val="prastasiniatinklio"/>
              <w:spacing w:before="0" w:beforeAutospacing="0" w:after="0" w:afterAutospacing="0" w:line="276" w:lineRule="auto"/>
              <w:ind w:firstLine="851"/>
              <w:jc w:val="both"/>
              <w:rPr>
                <w:lang w:eastAsia="hi-IN" w:bidi="hi-IN"/>
              </w:rPr>
            </w:pPr>
            <w:r w:rsidRPr="004E2AFB">
              <w:rPr>
                <w:lang w:eastAsia="hi-IN" w:bidi="hi-IN"/>
              </w:rPr>
              <w:t xml:space="preserve">Pedagoginės psichologinės tarnybos specialistai dalyvavo </w:t>
            </w:r>
            <w:r w:rsidRPr="00462B6F">
              <w:rPr>
                <w:lang w:eastAsia="hi-IN" w:bidi="hi-IN"/>
              </w:rPr>
              <w:t>Socialinių</w:t>
            </w:r>
            <w:r w:rsidRPr="004E2AFB">
              <w:rPr>
                <w:lang w:eastAsia="hi-IN" w:bidi="hi-IN"/>
              </w:rPr>
              <w:t xml:space="preserve"> ir kitų pagalbą mokyklai teikiančių pedagogų metodinio būrelio veik</w:t>
            </w:r>
            <w:r w:rsidR="001A15A2">
              <w:rPr>
                <w:lang w:eastAsia="hi-IN" w:bidi="hi-IN"/>
              </w:rPr>
              <w:t xml:space="preserve">loje, dalijosi gerąja patirtimi. </w:t>
            </w:r>
            <w:r w:rsidRPr="004E2AFB">
              <w:rPr>
                <w:lang w:eastAsia="hi-IN" w:bidi="hi-IN"/>
              </w:rPr>
              <w:t xml:space="preserve"> </w:t>
            </w:r>
          </w:p>
          <w:p w:rsidR="006F5E03" w:rsidRPr="00CA3B4D" w:rsidRDefault="006F5E03" w:rsidP="006F5E03">
            <w:pPr>
              <w:pStyle w:val="prastasiniatinklio"/>
              <w:spacing w:before="0" w:beforeAutospacing="0" w:after="0" w:afterAutospacing="0" w:line="276" w:lineRule="auto"/>
              <w:ind w:firstLine="851"/>
              <w:jc w:val="both"/>
            </w:pPr>
            <w:r w:rsidRPr="00CA3B4D">
              <w:t xml:space="preserve">Pedagoginės psichologinės tarnybos specialistai </w:t>
            </w:r>
            <w:r w:rsidR="001A15A2">
              <w:t xml:space="preserve">dalyvavo </w:t>
            </w:r>
            <w:r w:rsidRPr="00CA3B4D">
              <w:t xml:space="preserve">kvalifikacijos tobulinimo renginiuose, </w:t>
            </w:r>
            <w:r w:rsidR="001A15A2" w:rsidRPr="00CA3B4D">
              <w:t>tobulino savo kompetencijas</w:t>
            </w:r>
            <w:r w:rsidR="001A15A2">
              <w:t>,</w:t>
            </w:r>
            <w:r w:rsidR="001A15A2" w:rsidRPr="00CA3B4D">
              <w:t xml:space="preserve"> </w:t>
            </w:r>
            <w:r w:rsidRPr="00CA3B4D">
              <w:t xml:space="preserve">kad užtikrintų profesionalios ir šiuolaikiškos </w:t>
            </w:r>
            <w:r w:rsidRPr="00CA3B4D">
              <w:lastRenderedPageBreak/>
              <w:t>psichologinės, specialiosios pedagoginės pagalbos teikimą, gerintų jos veiksmingumą. Pedagoginės psichologinės tarnybos specialistai dalyvavo renginiuose, kurių metu tobulino nuotolinio konsultavimo įgūdžius, mokėsi atpažinti streso bei perdegimo sindromo požymius ir jų įveikos būdus, stiprino autizmo spektro ir emocijų – elgesio sutrikimų turinčių vaikų, jų tėvų (globėjų, rūpintojų), mokytojų bei ikimokyklinio amžiaus vaikų konsultavimo kompetencijas.</w:t>
            </w:r>
          </w:p>
          <w:p w:rsidR="006F5E03" w:rsidRPr="005C6EA4" w:rsidRDefault="006F5E03" w:rsidP="006F5E03">
            <w:pPr>
              <w:spacing w:line="276" w:lineRule="auto"/>
              <w:ind w:firstLine="851"/>
              <w:jc w:val="both"/>
              <w:rPr>
                <w:szCs w:val="24"/>
              </w:rPr>
            </w:pPr>
            <w:r w:rsidRPr="00CA3B4D">
              <w:rPr>
                <w:szCs w:val="24"/>
              </w:rPr>
              <w:t>Pedagoginė psichologinė tarnyba dalyvavo Europos Sąjungos lėšomis finansuojamame Nacionalinės švietimo agentūros vykdomame projekte „Saugios aplinkos mokykloje kūrimas II“ Nr. 09.2.2-ESFA-V-729-03-0001. Projekto lėšomis (finansuojama 0,5 psichologo pareigybės dydžio) plėtojamas psichologinės pagalbos prieinamumas mokiniams, jų tėvams, mokytojams ir kitiems švietimo įstaigų darbuotojams. Įgyvendinant projektą buvo teikiamos individualios konsultacijos, organizuojami užsiėmimai mokiniams, skaitytos paskaitos tėvams.</w:t>
            </w:r>
          </w:p>
          <w:p w:rsidR="006F5E03" w:rsidRPr="004E2AFB" w:rsidRDefault="006F5E03" w:rsidP="006F5E03">
            <w:pPr>
              <w:pStyle w:val="prastasiniatinklio"/>
              <w:spacing w:before="0" w:beforeAutospacing="0" w:after="0" w:afterAutospacing="0" w:line="276" w:lineRule="auto"/>
              <w:ind w:firstLine="851"/>
              <w:jc w:val="both"/>
              <w:rPr>
                <w:lang w:eastAsia="hi-IN" w:bidi="hi-IN"/>
              </w:rPr>
            </w:pPr>
            <w:r w:rsidRPr="004E2AFB">
              <w:rPr>
                <w:lang w:eastAsia="hi-IN" w:bidi="hi-IN"/>
              </w:rPr>
              <w:t>Pedagoginės psichologinės tarnybos specialistai sėkmingai be</w:t>
            </w:r>
            <w:r>
              <w:rPr>
                <w:lang w:eastAsia="hi-IN" w:bidi="hi-IN"/>
              </w:rPr>
              <w:t>ndradarbiavo su ugdymo įstaigų v</w:t>
            </w:r>
            <w:r w:rsidRPr="004E2AFB">
              <w:rPr>
                <w:lang w:eastAsia="hi-IN" w:bidi="hi-IN"/>
              </w:rPr>
              <w:t xml:space="preserve">aiko gerovės komisijomis ir kitais socialiniais partneriais. </w:t>
            </w:r>
          </w:p>
          <w:p w:rsidR="00ED4735" w:rsidRPr="00EF13FC" w:rsidRDefault="006F5E03" w:rsidP="00EF13FC">
            <w:pPr>
              <w:pStyle w:val="prastasiniatinklio"/>
              <w:spacing w:before="0" w:beforeAutospacing="0" w:after="0" w:afterAutospacing="0" w:line="276" w:lineRule="auto"/>
              <w:ind w:firstLine="851"/>
              <w:jc w:val="both"/>
              <w:rPr>
                <w:color w:val="FF0000"/>
                <w:lang w:eastAsia="hi-IN" w:bidi="hi-IN"/>
              </w:rPr>
            </w:pPr>
            <w:r w:rsidRPr="004E2AFB">
              <w:t>Siekiant Pedagoginės psichologinės tarnybos 2019–2023 metų strateginiame plane ir Pedagoginės psichologinės tarnybos 20</w:t>
            </w:r>
            <w:r>
              <w:t>20</w:t>
            </w:r>
            <w:r w:rsidRPr="004E2AFB">
              <w:t xml:space="preserve"> metų veiklos plane numatytų tikslų ir uždavinių, įgyvendintos visos metiniame veiklos plane numatytos priemonės ir pasiekti numatyti rezultatai.</w:t>
            </w:r>
            <w:r w:rsidRPr="004E2AFB">
              <w:rPr>
                <w:color w:val="FF0000"/>
              </w:rPr>
              <w:t xml:space="preserve"> </w:t>
            </w:r>
          </w:p>
        </w:tc>
      </w:tr>
    </w:tbl>
    <w:p w:rsidR="00B02E32" w:rsidRPr="0090281B" w:rsidRDefault="00B02E32" w:rsidP="00FC52A3">
      <w:pPr>
        <w:overflowPunct w:val="0"/>
        <w:textAlignment w:val="baseline"/>
        <w:rPr>
          <w:b/>
          <w:color w:val="000000" w:themeColor="text1"/>
          <w:szCs w:val="24"/>
          <w:highlight w:val="yellow"/>
          <w:lang w:eastAsia="lt-LT"/>
        </w:rPr>
      </w:pPr>
    </w:p>
    <w:p w:rsidR="00C54DA8" w:rsidRPr="0090281B" w:rsidRDefault="003868F5">
      <w:pPr>
        <w:overflowPunct w:val="0"/>
        <w:jc w:val="center"/>
        <w:textAlignment w:val="baseline"/>
        <w:rPr>
          <w:b/>
          <w:color w:val="000000" w:themeColor="text1"/>
          <w:szCs w:val="24"/>
          <w:lang w:eastAsia="lt-LT"/>
        </w:rPr>
      </w:pPr>
      <w:r w:rsidRPr="0090281B">
        <w:rPr>
          <w:b/>
          <w:color w:val="000000" w:themeColor="text1"/>
          <w:szCs w:val="24"/>
          <w:lang w:eastAsia="lt-LT"/>
        </w:rPr>
        <w:t>II SKYRIUS</w:t>
      </w:r>
    </w:p>
    <w:p w:rsidR="00C54DA8" w:rsidRPr="0090281B" w:rsidRDefault="003868F5">
      <w:pPr>
        <w:overflowPunct w:val="0"/>
        <w:jc w:val="center"/>
        <w:textAlignment w:val="baseline"/>
        <w:rPr>
          <w:b/>
          <w:color w:val="000000" w:themeColor="text1"/>
          <w:szCs w:val="24"/>
          <w:lang w:eastAsia="lt-LT"/>
        </w:rPr>
      </w:pPr>
      <w:r w:rsidRPr="0090281B">
        <w:rPr>
          <w:b/>
          <w:color w:val="000000" w:themeColor="text1"/>
          <w:szCs w:val="24"/>
          <w:lang w:eastAsia="lt-LT"/>
        </w:rPr>
        <w:t>METŲ VEIKLOS UŽDUOTYS, REZULTATAI IR RODIKLIAI</w:t>
      </w:r>
    </w:p>
    <w:p w:rsidR="00C54DA8" w:rsidRPr="0090281B" w:rsidRDefault="00C54DA8">
      <w:pPr>
        <w:overflowPunct w:val="0"/>
        <w:jc w:val="center"/>
        <w:textAlignment w:val="baseline"/>
        <w:rPr>
          <w:color w:val="000000" w:themeColor="text1"/>
          <w:sz w:val="20"/>
          <w:lang w:eastAsia="lt-LT"/>
        </w:rPr>
      </w:pPr>
    </w:p>
    <w:p w:rsidR="00C54DA8" w:rsidRPr="0090281B" w:rsidRDefault="003868F5">
      <w:pPr>
        <w:tabs>
          <w:tab w:val="left" w:pos="284"/>
        </w:tabs>
        <w:overflowPunct w:val="0"/>
        <w:textAlignment w:val="baseline"/>
        <w:rPr>
          <w:b/>
          <w:color w:val="000000" w:themeColor="text1"/>
          <w:szCs w:val="24"/>
          <w:lang w:eastAsia="lt-LT"/>
        </w:rPr>
      </w:pPr>
      <w:r w:rsidRPr="0090281B">
        <w:rPr>
          <w:b/>
          <w:color w:val="000000" w:themeColor="text1"/>
          <w:szCs w:val="24"/>
          <w:lang w:eastAsia="lt-LT"/>
        </w:rPr>
        <w:t>1.</w:t>
      </w:r>
      <w:r w:rsidRPr="0090281B">
        <w:rPr>
          <w:b/>
          <w:color w:val="000000" w:themeColor="text1"/>
          <w:szCs w:val="24"/>
          <w:lang w:eastAsia="lt-LT"/>
        </w:rPr>
        <w:tab/>
        <w:t>Pagrindiniai praėjusių metų veiklos rezultatai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268"/>
        <w:gridCol w:w="2268"/>
        <w:gridCol w:w="2835"/>
      </w:tblGrid>
      <w:tr w:rsidR="00317315" w:rsidRPr="0090281B" w:rsidTr="00D75494">
        <w:tc>
          <w:tcPr>
            <w:tcW w:w="2127"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jc w:val="center"/>
              <w:textAlignment w:val="baseline"/>
              <w:rPr>
                <w:color w:val="000000" w:themeColor="text1"/>
                <w:szCs w:val="24"/>
                <w:lang w:eastAsia="lt-LT"/>
              </w:rPr>
            </w:pPr>
            <w:r w:rsidRPr="0090281B">
              <w:rPr>
                <w:color w:val="000000" w:themeColor="text1"/>
                <w:szCs w:val="24"/>
                <w:lang w:eastAsia="lt-LT"/>
              </w:rPr>
              <w:t>Metų užduotys (toliau – užduotys)</w:t>
            </w:r>
          </w:p>
        </w:tc>
        <w:tc>
          <w:tcPr>
            <w:tcW w:w="2268"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jc w:val="center"/>
              <w:textAlignment w:val="baseline"/>
              <w:rPr>
                <w:color w:val="000000" w:themeColor="text1"/>
                <w:szCs w:val="24"/>
                <w:lang w:eastAsia="lt-LT"/>
              </w:rPr>
            </w:pPr>
            <w:r w:rsidRPr="0090281B">
              <w:rPr>
                <w:color w:val="000000" w:themeColor="text1"/>
                <w:szCs w:val="24"/>
                <w:lang w:eastAsia="lt-LT"/>
              </w:rPr>
              <w:t>Siektini rezultatai</w:t>
            </w:r>
          </w:p>
        </w:tc>
        <w:tc>
          <w:tcPr>
            <w:tcW w:w="2268" w:type="dxa"/>
            <w:tcBorders>
              <w:top w:val="single" w:sz="4" w:space="0" w:color="auto"/>
              <w:left w:val="single" w:sz="4" w:space="0" w:color="auto"/>
              <w:bottom w:val="single" w:sz="4" w:space="0" w:color="auto"/>
              <w:right w:val="single" w:sz="4" w:space="0" w:color="auto"/>
            </w:tcBorders>
            <w:hideMark/>
          </w:tcPr>
          <w:p w:rsidR="00C54DA8" w:rsidRPr="0090281B" w:rsidRDefault="003868F5" w:rsidP="000E218B">
            <w:pPr>
              <w:overflowPunct w:val="0"/>
              <w:jc w:val="center"/>
              <w:textAlignment w:val="baseline"/>
              <w:rPr>
                <w:color w:val="000000" w:themeColor="text1"/>
                <w:szCs w:val="24"/>
                <w:lang w:eastAsia="lt-LT"/>
              </w:rPr>
            </w:pPr>
            <w:r w:rsidRPr="0090281B">
              <w:rPr>
                <w:color w:val="000000" w:themeColor="text1"/>
                <w:szCs w:val="24"/>
                <w:lang w:eastAsia="lt-LT"/>
              </w:rPr>
              <w:t>Rezultatų vertinimo rodikliai (kuriais vadovaujantis vertinama, ar nustatytos užduotys įvykdytos)</w:t>
            </w:r>
          </w:p>
        </w:tc>
        <w:tc>
          <w:tcPr>
            <w:tcW w:w="2835"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jc w:val="center"/>
              <w:textAlignment w:val="baseline"/>
              <w:rPr>
                <w:color w:val="000000" w:themeColor="text1"/>
                <w:szCs w:val="24"/>
                <w:lang w:eastAsia="lt-LT"/>
              </w:rPr>
            </w:pPr>
            <w:r w:rsidRPr="0090281B">
              <w:rPr>
                <w:color w:val="000000" w:themeColor="text1"/>
                <w:szCs w:val="24"/>
                <w:lang w:eastAsia="lt-LT"/>
              </w:rPr>
              <w:t>Pasiekti rezultatai ir jų rodikliai</w:t>
            </w:r>
          </w:p>
        </w:tc>
      </w:tr>
      <w:tr w:rsidR="00317315" w:rsidRPr="0090281B" w:rsidTr="00ED4735">
        <w:trPr>
          <w:trHeight w:val="70"/>
        </w:trPr>
        <w:tc>
          <w:tcPr>
            <w:tcW w:w="2127" w:type="dxa"/>
            <w:tcBorders>
              <w:top w:val="single" w:sz="4" w:space="0" w:color="auto"/>
              <w:left w:val="single" w:sz="4" w:space="0" w:color="auto"/>
              <w:bottom w:val="single" w:sz="4" w:space="0" w:color="auto"/>
              <w:right w:val="single" w:sz="4" w:space="0" w:color="auto"/>
            </w:tcBorders>
          </w:tcPr>
          <w:p w:rsidR="00C54DA8" w:rsidRPr="0090281B" w:rsidRDefault="00C54DA8" w:rsidP="00ED4735">
            <w:pPr>
              <w:overflowPunct w:val="0"/>
              <w:textAlignment w:val="baseline"/>
              <w:rPr>
                <w:color w:val="000000" w:themeColor="text1"/>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rsidR="00C54DA8" w:rsidRPr="0090281B" w:rsidRDefault="00C54DA8" w:rsidP="00ED4735">
            <w:pPr>
              <w:overflowPunct w:val="0"/>
              <w:textAlignment w:val="baseline"/>
              <w:rPr>
                <w:color w:val="000000" w:themeColor="text1"/>
                <w:szCs w:val="24"/>
                <w:lang w:eastAsia="lt-LT"/>
              </w:rPr>
            </w:pPr>
          </w:p>
        </w:tc>
        <w:tc>
          <w:tcPr>
            <w:tcW w:w="2268" w:type="dxa"/>
            <w:tcBorders>
              <w:top w:val="single" w:sz="4" w:space="0" w:color="auto"/>
              <w:left w:val="single" w:sz="4" w:space="0" w:color="auto"/>
              <w:bottom w:val="single" w:sz="4" w:space="0" w:color="auto"/>
              <w:right w:val="single" w:sz="4" w:space="0" w:color="auto"/>
            </w:tcBorders>
          </w:tcPr>
          <w:p w:rsidR="00C54DA8" w:rsidRPr="0090281B" w:rsidRDefault="00C54DA8" w:rsidP="00ED4735">
            <w:pPr>
              <w:overflowPunct w:val="0"/>
              <w:textAlignment w:val="baseline"/>
              <w:rPr>
                <w:color w:val="000000" w:themeColor="text1"/>
                <w:szCs w:val="24"/>
                <w:highlight w:val="yellow"/>
                <w:lang w:eastAsia="lt-LT"/>
              </w:rPr>
            </w:pPr>
          </w:p>
        </w:tc>
        <w:tc>
          <w:tcPr>
            <w:tcW w:w="2835" w:type="dxa"/>
            <w:tcBorders>
              <w:top w:val="single" w:sz="4" w:space="0" w:color="auto"/>
              <w:left w:val="single" w:sz="4" w:space="0" w:color="auto"/>
              <w:bottom w:val="single" w:sz="4" w:space="0" w:color="auto"/>
              <w:right w:val="single" w:sz="4" w:space="0" w:color="auto"/>
            </w:tcBorders>
            <w:vAlign w:val="center"/>
          </w:tcPr>
          <w:p w:rsidR="00803733" w:rsidRPr="0090281B" w:rsidRDefault="00803733" w:rsidP="00ED4735">
            <w:pPr>
              <w:overflowPunct w:val="0"/>
              <w:textAlignment w:val="baseline"/>
              <w:rPr>
                <w:color w:val="000000" w:themeColor="text1"/>
                <w:szCs w:val="24"/>
                <w:highlight w:val="yellow"/>
                <w:lang w:eastAsia="lt-LT"/>
              </w:rPr>
            </w:pPr>
          </w:p>
        </w:tc>
      </w:tr>
      <w:tr w:rsidR="00317315" w:rsidRPr="00317315" w:rsidTr="00ED4735">
        <w:trPr>
          <w:trHeight w:val="116"/>
        </w:trPr>
        <w:tc>
          <w:tcPr>
            <w:tcW w:w="2127" w:type="dxa"/>
            <w:tcBorders>
              <w:top w:val="single" w:sz="4" w:space="0" w:color="auto"/>
              <w:left w:val="single" w:sz="4" w:space="0" w:color="auto"/>
              <w:bottom w:val="single" w:sz="4" w:space="0" w:color="auto"/>
              <w:right w:val="single" w:sz="4" w:space="0" w:color="auto"/>
            </w:tcBorders>
          </w:tcPr>
          <w:p w:rsidR="00317315" w:rsidRPr="00317315" w:rsidRDefault="00317315" w:rsidP="00ED4735">
            <w:pPr>
              <w:overflowPunct w:val="0"/>
              <w:textAlignment w:val="baseline"/>
              <w:rPr>
                <w:color w:val="000000" w:themeColor="text1"/>
                <w:szCs w:val="24"/>
                <w:highlight w:val="yellow"/>
                <w:lang w:eastAsia="lt-LT"/>
              </w:rPr>
            </w:pPr>
          </w:p>
        </w:tc>
        <w:tc>
          <w:tcPr>
            <w:tcW w:w="2268" w:type="dxa"/>
            <w:tcBorders>
              <w:top w:val="single" w:sz="4" w:space="0" w:color="auto"/>
              <w:left w:val="single" w:sz="4" w:space="0" w:color="auto"/>
              <w:bottom w:val="single" w:sz="4" w:space="0" w:color="auto"/>
              <w:right w:val="single" w:sz="4" w:space="0" w:color="auto"/>
            </w:tcBorders>
          </w:tcPr>
          <w:p w:rsidR="00317315" w:rsidRPr="0090281B" w:rsidRDefault="00317315" w:rsidP="00ED4735">
            <w:pPr>
              <w:pStyle w:val="Sraopastraipa"/>
              <w:spacing w:after="0"/>
              <w:ind w:left="0"/>
              <w:rPr>
                <w:rFonts w:ascii="Times New Roman" w:hAnsi="Times New Roman" w:cs="Times New Roman"/>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rsidR="00317315" w:rsidRPr="0090281B" w:rsidRDefault="00317315" w:rsidP="00ED4735">
            <w:pPr>
              <w:pStyle w:val="Sraopastraipa"/>
              <w:spacing w:after="0"/>
              <w:ind w:left="0"/>
              <w:rPr>
                <w:rFonts w:ascii="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rsidR="00317315" w:rsidRPr="0090281B" w:rsidRDefault="00317315" w:rsidP="00ED4735">
            <w:pPr>
              <w:overflowPunct w:val="0"/>
              <w:textAlignment w:val="baseline"/>
              <w:rPr>
                <w:szCs w:val="24"/>
                <w:lang w:eastAsia="lt-LT"/>
              </w:rPr>
            </w:pPr>
          </w:p>
        </w:tc>
      </w:tr>
      <w:tr w:rsidR="00596585" w:rsidRPr="00317315" w:rsidTr="00ED4735">
        <w:trPr>
          <w:trHeight w:val="77"/>
        </w:trPr>
        <w:tc>
          <w:tcPr>
            <w:tcW w:w="2127" w:type="dxa"/>
            <w:tcBorders>
              <w:top w:val="single" w:sz="4" w:space="0" w:color="auto"/>
              <w:left w:val="single" w:sz="4" w:space="0" w:color="auto"/>
              <w:bottom w:val="single" w:sz="4" w:space="0" w:color="auto"/>
              <w:right w:val="single" w:sz="4" w:space="0" w:color="auto"/>
            </w:tcBorders>
          </w:tcPr>
          <w:p w:rsidR="00596585" w:rsidRDefault="00596585" w:rsidP="00ED4735">
            <w:pPr>
              <w:pStyle w:val="Sraopastraipa"/>
              <w:spacing w:after="0"/>
              <w:ind w:left="0"/>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596585" w:rsidRPr="0090281B" w:rsidRDefault="00596585" w:rsidP="00ED4735">
            <w:pPr>
              <w:pStyle w:val="Sraopastraipa"/>
              <w:spacing w:after="0"/>
              <w:ind w:left="0"/>
              <w:rPr>
                <w:rFonts w:ascii="Times New Roman" w:hAnsi="Times New Roman" w:cs="Times New Roman"/>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rsidR="00596585" w:rsidRPr="00ED4735" w:rsidRDefault="00596585" w:rsidP="00ED4735"/>
        </w:tc>
        <w:tc>
          <w:tcPr>
            <w:tcW w:w="2835" w:type="dxa"/>
            <w:tcBorders>
              <w:top w:val="single" w:sz="4" w:space="0" w:color="auto"/>
              <w:left w:val="single" w:sz="4" w:space="0" w:color="auto"/>
              <w:bottom w:val="single" w:sz="4" w:space="0" w:color="auto"/>
              <w:right w:val="single" w:sz="4" w:space="0" w:color="auto"/>
            </w:tcBorders>
          </w:tcPr>
          <w:p w:rsidR="00596585" w:rsidRPr="0090281B" w:rsidRDefault="00596585" w:rsidP="00ED4735">
            <w:pPr>
              <w:pStyle w:val="Sraopastraipa"/>
              <w:spacing w:after="0"/>
              <w:ind w:left="0"/>
              <w:rPr>
                <w:color w:val="000000" w:themeColor="text1"/>
                <w:lang w:val="lt-LT"/>
              </w:rPr>
            </w:pPr>
          </w:p>
        </w:tc>
      </w:tr>
      <w:tr w:rsidR="00596585" w:rsidRPr="0090281B" w:rsidTr="00D75494">
        <w:tc>
          <w:tcPr>
            <w:tcW w:w="2127" w:type="dxa"/>
            <w:tcBorders>
              <w:top w:val="single" w:sz="4" w:space="0" w:color="auto"/>
              <w:left w:val="single" w:sz="4" w:space="0" w:color="auto"/>
              <w:bottom w:val="single" w:sz="4" w:space="0" w:color="auto"/>
              <w:right w:val="single" w:sz="4" w:space="0" w:color="auto"/>
            </w:tcBorders>
          </w:tcPr>
          <w:p w:rsidR="00596585" w:rsidRPr="0090281B" w:rsidRDefault="00596585" w:rsidP="00ED4735">
            <w:pPr>
              <w:pStyle w:val="Sraopastraipa"/>
              <w:spacing w:after="0"/>
              <w:ind w:left="0"/>
              <w:rPr>
                <w:rFonts w:ascii="Times New Roman" w:hAnsi="Times New Roman" w:cs="Times New Roman"/>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rsidR="00596585" w:rsidRPr="0090281B" w:rsidRDefault="00596585" w:rsidP="00ED4735">
            <w:pPr>
              <w:pStyle w:val="Sraopastraipa"/>
              <w:spacing w:after="0"/>
              <w:ind w:left="0"/>
              <w:rPr>
                <w:rFonts w:ascii="Times New Roman" w:hAnsi="Times New Roman" w:cs="Times New Roman"/>
                <w:sz w:val="24"/>
                <w:szCs w:val="24"/>
                <w:lang w:val="lt-LT"/>
              </w:rPr>
            </w:pPr>
          </w:p>
        </w:tc>
        <w:tc>
          <w:tcPr>
            <w:tcW w:w="2268" w:type="dxa"/>
            <w:tcBorders>
              <w:top w:val="single" w:sz="4" w:space="0" w:color="auto"/>
              <w:left w:val="single" w:sz="4" w:space="0" w:color="auto"/>
              <w:bottom w:val="single" w:sz="4" w:space="0" w:color="auto"/>
              <w:right w:val="single" w:sz="4" w:space="0" w:color="auto"/>
            </w:tcBorders>
          </w:tcPr>
          <w:p w:rsidR="00596585" w:rsidRPr="0090281B" w:rsidRDefault="00596585" w:rsidP="00ED4735">
            <w:pPr>
              <w:pStyle w:val="Sraopastraipa"/>
              <w:spacing w:after="0"/>
              <w:ind w:left="0"/>
              <w:rPr>
                <w:rFonts w:ascii="Times New Roman" w:hAnsi="Times New Roman" w:cs="Times New Roman"/>
                <w:sz w:val="24"/>
                <w:szCs w:val="24"/>
                <w:lang w:val="lt-LT"/>
              </w:rPr>
            </w:pPr>
          </w:p>
        </w:tc>
        <w:tc>
          <w:tcPr>
            <w:tcW w:w="2835" w:type="dxa"/>
            <w:tcBorders>
              <w:top w:val="single" w:sz="4" w:space="0" w:color="auto"/>
              <w:left w:val="single" w:sz="4" w:space="0" w:color="auto"/>
              <w:bottom w:val="single" w:sz="4" w:space="0" w:color="auto"/>
              <w:right w:val="single" w:sz="4" w:space="0" w:color="auto"/>
            </w:tcBorders>
          </w:tcPr>
          <w:p w:rsidR="00596585" w:rsidRPr="0090281B" w:rsidRDefault="00596585" w:rsidP="00ED4735">
            <w:pPr>
              <w:overflowPunct w:val="0"/>
              <w:textAlignment w:val="baseline"/>
              <w:rPr>
                <w:color w:val="000000" w:themeColor="text1"/>
                <w:szCs w:val="24"/>
                <w:highlight w:val="yellow"/>
                <w:lang w:eastAsia="lt-LT"/>
              </w:rPr>
            </w:pPr>
          </w:p>
        </w:tc>
      </w:tr>
    </w:tbl>
    <w:p w:rsidR="008C04AE" w:rsidRPr="0090281B" w:rsidRDefault="008C04AE" w:rsidP="00B02E32">
      <w:pPr>
        <w:tabs>
          <w:tab w:val="left" w:pos="284"/>
        </w:tabs>
        <w:overflowPunct w:val="0"/>
        <w:textAlignment w:val="baseline"/>
        <w:rPr>
          <w:b/>
          <w:color w:val="000000" w:themeColor="text1"/>
          <w:szCs w:val="24"/>
          <w:highlight w:val="yellow"/>
          <w:lang w:eastAsia="lt-LT"/>
        </w:rPr>
      </w:pPr>
    </w:p>
    <w:p w:rsidR="00C54DA8" w:rsidRPr="0090281B" w:rsidRDefault="003868F5">
      <w:pPr>
        <w:tabs>
          <w:tab w:val="left" w:pos="284"/>
        </w:tabs>
        <w:overflowPunct w:val="0"/>
        <w:textAlignment w:val="baseline"/>
        <w:rPr>
          <w:b/>
          <w:color w:val="000000" w:themeColor="text1"/>
          <w:szCs w:val="24"/>
          <w:lang w:eastAsia="lt-LT"/>
        </w:rPr>
      </w:pPr>
      <w:r w:rsidRPr="0090281B">
        <w:rPr>
          <w:b/>
          <w:color w:val="000000" w:themeColor="text1"/>
          <w:szCs w:val="24"/>
          <w:lang w:eastAsia="lt-LT"/>
        </w:rPr>
        <w:t>2.</w:t>
      </w:r>
      <w:r w:rsidRPr="0090281B">
        <w:rPr>
          <w:b/>
          <w:color w:val="000000" w:themeColor="text1"/>
          <w:szCs w:val="24"/>
          <w:lang w:eastAsia="lt-LT"/>
        </w:rPr>
        <w:tab/>
        <w:t>Užduotys, neįvykdytos ar įvykdytos iš dalies dėl numatytų rizikų (jei tokių buvo)</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962"/>
      </w:tblGrid>
      <w:tr w:rsidR="00317315" w:rsidRPr="0090281B" w:rsidTr="00596585">
        <w:tc>
          <w:tcPr>
            <w:tcW w:w="4536"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jc w:val="center"/>
              <w:textAlignment w:val="baseline"/>
              <w:rPr>
                <w:color w:val="000000" w:themeColor="text1"/>
                <w:szCs w:val="24"/>
                <w:lang w:eastAsia="lt-LT"/>
              </w:rPr>
            </w:pPr>
            <w:r w:rsidRPr="0090281B">
              <w:rPr>
                <w:color w:val="000000" w:themeColor="text1"/>
                <w:szCs w:val="24"/>
                <w:lang w:eastAsia="lt-LT"/>
              </w:rPr>
              <w:t>Užduotys</w:t>
            </w:r>
          </w:p>
        </w:tc>
        <w:tc>
          <w:tcPr>
            <w:tcW w:w="4962"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jc w:val="center"/>
              <w:textAlignment w:val="baseline"/>
              <w:rPr>
                <w:color w:val="000000" w:themeColor="text1"/>
                <w:szCs w:val="24"/>
                <w:lang w:eastAsia="lt-LT"/>
              </w:rPr>
            </w:pPr>
            <w:r w:rsidRPr="0090281B">
              <w:rPr>
                <w:color w:val="000000" w:themeColor="text1"/>
                <w:szCs w:val="24"/>
                <w:lang w:eastAsia="lt-LT"/>
              </w:rPr>
              <w:t xml:space="preserve">Priežastys, rizikos </w:t>
            </w:r>
          </w:p>
        </w:tc>
      </w:tr>
      <w:tr w:rsidR="00317315" w:rsidRPr="0090281B" w:rsidTr="00596585">
        <w:tc>
          <w:tcPr>
            <w:tcW w:w="4536" w:type="dxa"/>
            <w:tcBorders>
              <w:top w:val="single" w:sz="4" w:space="0" w:color="auto"/>
              <w:left w:val="single" w:sz="4" w:space="0" w:color="auto"/>
              <w:bottom w:val="single" w:sz="4" w:space="0" w:color="auto"/>
              <w:right w:val="single" w:sz="4" w:space="0" w:color="auto"/>
            </w:tcBorders>
            <w:hideMark/>
          </w:tcPr>
          <w:p w:rsidR="00C54DA8" w:rsidRPr="0090281B" w:rsidRDefault="003868F5" w:rsidP="00325B9B">
            <w:pPr>
              <w:overflowPunct w:val="0"/>
              <w:textAlignment w:val="baseline"/>
              <w:rPr>
                <w:color w:val="000000" w:themeColor="text1"/>
                <w:szCs w:val="24"/>
                <w:lang w:eastAsia="lt-LT"/>
              </w:rPr>
            </w:pPr>
            <w:r w:rsidRPr="0090281B">
              <w:rPr>
                <w:color w:val="000000" w:themeColor="text1"/>
                <w:szCs w:val="24"/>
                <w:lang w:eastAsia="lt-LT"/>
              </w:rPr>
              <w:t>2.1</w:t>
            </w:r>
          </w:p>
        </w:tc>
        <w:tc>
          <w:tcPr>
            <w:tcW w:w="4962" w:type="dxa"/>
            <w:tcBorders>
              <w:top w:val="single" w:sz="4" w:space="0" w:color="auto"/>
              <w:left w:val="single" w:sz="4" w:space="0" w:color="auto"/>
              <w:bottom w:val="single" w:sz="4" w:space="0" w:color="auto"/>
              <w:right w:val="single" w:sz="4" w:space="0" w:color="auto"/>
            </w:tcBorders>
          </w:tcPr>
          <w:p w:rsidR="00C54DA8" w:rsidRPr="0090281B" w:rsidRDefault="00C54DA8" w:rsidP="00325B9B">
            <w:pPr>
              <w:rPr>
                <w:color w:val="000000" w:themeColor="text1"/>
                <w:szCs w:val="24"/>
                <w:lang w:eastAsia="lt-LT"/>
              </w:rPr>
            </w:pPr>
          </w:p>
        </w:tc>
      </w:tr>
      <w:tr w:rsidR="00317315" w:rsidRPr="0090281B" w:rsidTr="00596585">
        <w:tc>
          <w:tcPr>
            <w:tcW w:w="4536" w:type="dxa"/>
            <w:tcBorders>
              <w:top w:val="single" w:sz="4" w:space="0" w:color="auto"/>
              <w:left w:val="single" w:sz="4" w:space="0" w:color="auto"/>
              <w:bottom w:val="single" w:sz="4" w:space="0" w:color="auto"/>
              <w:right w:val="single" w:sz="4" w:space="0" w:color="auto"/>
            </w:tcBorders>
            <w:hideMark/>
          </w:tcPr>
          <w:p w:rsidR="00C54DA8" w:rsidRPr="0090281B" w:rsidRDefault="003868F5">
            <w:pPr>
              <w:overflowPunct w:val="0"/>
              <w:textAlignment w:val="baseline"/>
              <w:rPr>
                <w:color w:val="000000" w:themeColor="text1"/>
                <w:szCs w:val="24"/>
                <w:lang w:eastAsia="lt-LT"/>
              </w:rPr>
            </w:pPr>
            <w:r w:rsidRPr="0090281B">
              <w:rPr>
                <w:color w:val="000000" w:themeColor="text1"/>
                <w:szCs w:val="24"/>
                <w:lang w:eastAsia="lt-LT"/>
              </w:rPr>
              <w:t>2.2.</w:t>
            </w:r>
          </w:p>
        </w:tc>
        <w:tc>
          <w:tcPr>
            <w:tcW w:w="4962" w:type="dxa"/>
            <w:tcBorders>
              <w:top w:val="single" w:sz="4" w:space="0" w:color="auto"/>
              <w:left w:val="single" w:sz="4" w:space="0" w:color="auto"/>
              <w:bottom w:val="single" w:sz="4" w:space="0" w:color="auto"/>
              <w:right w:val="single" w:sz="4" w:space="0" w:color="auto"/>
            </w:tcBorders>
          </w:tcPr>
          <w:p w:rsidR="00C54DA8" w:rsidRPr="0090281B" w:rsidRDefault="00C54DA8">
            <w:pPr>
              <w:overflowPunct w:val="0"/>
              <w:jc w:val="center"/>
              <w:textAlignment w:val="baseline"/>
              <w:rPr>
                <w:color w:val="000000" w:themeColor="text1"/>
                <w:szCs w:val="24"/>
                <w:lang w:eastAsia="lt-LT"/>
              </w:rPr>
            </w:pPr>
          </w:p>
        </w:tc>
      </w:tr>
      <w:tr w:rsidR="00317315" w:rsidRPr="0090281B" w:rsidTr="00596585">
        <w:tc>
          <w:tcPr>
            <w:tcW w:w="4536" w:type="dxa"/>
            <w:tcBorders>
              <w:top w:val="single" w:sz="4" w:space="0" w:color="auto"/>
              <w:left w:val="single" w:sz="4" w:space="0" w:color="auto"/>
              <w:bottom w:val="single" w:sz="4" w:space="0" w:color="auto"/>
              <w:right w:val="single" w:sz="4" w:space="0" w:color="auto"/>
            </w:tcBorders>
            <w:hideMark/>
          </w:tcPr>
          <w:p w:rsidR="00C54DA8" w:rsidRPr="0090281B" w:rsidRDefault="003868F5">
            <w:pPr>
              <w:overflowPunct w:val="0"/>
              <w:textAlignment w:val="baseline"/>
              <w:rPr>
                <w:color w:val="000000" w:themeColor="text1"/>
                <w:szCs w:val="24"/>
                <w:lang w:eastAsia="lt-LT"/>
              </w:rPr>
            </w:pPr>
            <w:r w:rsidRPr="0090281B">
              <w:rPr>
                <w:color w:val="000000" w:themeColor="text1"/>
                <w:szCs w:val="24"/>
                <w:lang w:eastAsia="lt-LT"/>
              </w:rPr>
              <w:t>2.3.</w:t>
            </w:r>
          </w:p>
        </w:tc>
        <w:tc>
          <w:tcPr>
            <w:tcW w:w="4962" w:type="dxa"/>
            <w:tcBorders>
              <w:top w:val="single" w:sz="4" w:space="0" w:color="auto"/>
              <w:left w:val="single" w:sz="4" w:space="0" w:color="auto"/>
              <w:bottom w:val="single" w:sz="4" w:space="0" w:color="auto"/>
              <w:right w:val="single" w:sz="4" w:space="0" w:color="auto"/>
            </w:tcBorders>
          </w:tcPr>
          <w:p w:rsidR="00C54DA8" w:rsidRPr="0090281B" w:rsidRDefault="00C54DA8">
            <w:pPr>
              <w:overflowPunct w:val="0"/>
              <w:jc w:val="center"/>
              <w:textAlignment w:val="baseline"/>
              <w:rPr>
                <w:color w:val="000000" w:themeColor="text1"/>
                <w:szCs w:val="24"/>
                <w:lang w:eastAsia="lt-LT"/>
              </w:rPr>
            </w:pPr>
          </w:p>
        </w:tc>
      </w:tr>
      <w:tr w:rsidR="00317315" w:rsidRPr="0090281B" w:rsidTr="00596585">
        <w:tc>
          <w:tcPr>
            <w:tcW w:w="4536" w:type="dxa"/>
            <w:tcBorders>
              <w:top w:val="single" w:sz="4" w:space="0" w:color="auto"/>
              <w:left w:val="single" w:sz="4" w:space="0" w:color="auto"/>
              <w:bottom w:val="single" w:sz="4" w:space="0" w:color="auto"/>
              <w:right w:val="single" w:sz="4" w:space="0" w:color="auto"/>
            </w:tcBorders>
            <w:hideMark/>
          </w:tcPr>
          <w:p w:rsidR="00C54DA8" w:rsidRPr="0090281B" w:rsidRDefault="003868F5">
            <w:pPr>
              <w:overflowPunct w:val="0"/>
              <w:textAlignment w:val="baseline"/>
              <w:rPr>
                <w:color w:val="000000" w:themeColor="text1"/>
                <w:szCs w:val="24"/>
                <w:lang w:eastAsia="lt-LT"/>
              </w:rPr>
            </w:pPr>
            <w:r w:rsidRPr="0090281B">
              <w:rPr>
                <w:color w:val="000000" w:themeColor="text1"/>
                <w:szCs w:val="24"/>
                <w:lang w:eastAsia="lt-LT"/>
              </w:rPr>
              <w:t>2.4.</w:t>
            </w:r>
          </w:p>
        </w:tc>
        <w:tc>
          <w:tcPr>
            <w:tcW w:w="4962" w:type="dxa"/>
            <w:tcBorders>
              <w:top w:val="single" w:sz="4" w:space="0" w:color="auto"/>
              <w:left w:val="single" w:sz="4" w:space="0" w:color="auto"/>
              <w:bottom w:val="single" w:sz="4" w:space="0" w:color="auto"/>
              <w:right w:val="single" w:sz="4" w:space="0" w:color="auto"/>
            </w:tcBorders>
          </w:tcPr>
          <w:p w:rsidR="00C54DA8" w:rsidRPr="0090281B" w:rsidRDefault="00C54DA8">
            <w:pPr>
              <w:overflowPunct w:val="0"/>
              <w:jc w:val="center"/>
              <w:textAlignment w:val="baseline"/>
              <w:rPr>
                <w:color w:val="000000" w:themeColor="text1"/>
                <w:szCs w:val="24"/>
                <w:lang w:eastAsia="lt-LT"/>
              </w:rPr>
            </w:pPr>
          </w:p>
        </w:tc>
      </w:tr>
      <w:tr w:rsidR="00596585" w:rsidRPr="0090281B" w:rsidTr="00596585">
        <w:tc>
          <w:tcPr>
            <w:tcW w:w="4536" w:type="dxa"/>
            <w:tcBorders>
              <w:top w:val="single" w:sz="4" w:space="0" w:color="auto"/>
              <w:left w:val="single" w:sz="4" w:space="0" w:color="auto"/>
              <w:bottom w:val="single" w:sz="4" w:space="0" w:color="auto"/>
              <w:right w:val="single" w:sz="4" w:space="0" w:color="auto"/>
            </w:tcBorders>
            <w:hideMark/>
          </w:tcPr>
          <w:p w:rsidR="00C54DA8" w:rsidRPr="0090281B" w:rsidRDefault="003868F5">
            <w:pPr>
              <w:overflowPunct w:val="0"/>
              <w:textAlignment w:val="baseline"/>
              <w:rPr>
                <w:color w:val="000000" w:themeColor="text1"/>
                <w:szCs w:val="24"/>
                <w:lang w:eastAsia="lt-LT"/>
              </w:rPr>
            </w:pPr>
            <w:r w:rsidRPr="0090281B">
              <w:rPr>
                <w:color w:val="000000" w:themeColor="text1"/>
                <w:szCs w:val="24"/>
                <w:lang w:eastAsia="lt-LT"/>
              </w:rPr>
              <w:t>2.5.</w:t>
            </w:r>
          </w:p>
        </w:tc>
        <w:tc>
          <w:tcPr>
            <w:tcW w:w="4962" w:type="dxa"/>
            <w:tcBorders>
              <w:top w:val="single" w:sz="4" w:space="0" w:color="auto"/>
              <w:left w:val="single" w:sz="4" w:space="0" w:color="auto"/>
              <w:bottom w:val="single" w:sz="4" w:space="0" w:color="auto"/>
              <w:right w:val="single" w:sz="4" w:space="0" w:color="auto"/>
            </w:tcBorders>
          </w:tcPr>
          <w:p w:rsidR="00C54DA8" w:rsidRPr="0090281B" w:rsidRDefault="00C54DA8">
            <w:pPr>
              <w:overflowPunct w:val="0"/>
              <w:jc w:val="center"/>
              <w:textAlignment w:val="baseline"/>
              <w:rPr>
                <w:color w:val="000000" w:themeColor="text1"/>
                <w:szCs w:val="24"/>
                <w:lang w:eastAsia="lt-LT"/>
              </w:rPr>
            </w:pPr>
          </w:p>
        </w:tc>
      </w:tr>
    </w:tbl>
    <w:p w:rsidR="00C54DA8" w:rsidRPr="0090281B" w:rsidRDefault="00C54DA8">
      <w:pPr>
        <w:overflowPunct w:val="0"/>
        <w:textAlignment w:val="baseline"/>
        <w:rPr>
          <w:color w:val="000000" w:themeColor="text1"/>
          <w:sz w:val="20"/>
        </w:rPr>
      </w:pPr>
    </w:p>
    <w:p w:rsidR="00C54DA8" w:rsidRPr="0090281B" w:rsidRDefault="009D07F2">
      <w:pPr>
        <w:tabs>
          <w:tab w:val="left" w:pos="284"/>
        </w:tabs>
        <w:overflowPunct w:val="0"/>
        <w:jc w:val="both"/>
        <w:textAlignment w:val="baseline"/>
        <w:rPr>
          <w:b/>
          <w:color w:val="000000" w:themeColor="text1"/>
          <w:szCs w:val="24"/>
          <w:lang w:eastAsia="lt-LT"/>
        </w:rPr>
      </w:pPr>
      <w:r w:rsidRPr="0090281B">
        <w:rPr>
          <w:b/>
          <w:color w:val="000000" w:themeColor="text1"/>
          <w:szCs w:val="24"/>
          <w:lang w:eastAsia="lt-LT"/>
        </w:rPr>
        <w:t>3.</w:t>
      </w:r>
      <w:r w:rsidRPr="0090281B">
        <w:rPr>
          <w:b/>
          <w:color w:val="000000" w:themeColor="text1"/>
          <w:szCs w:val="24"/>
          <w:lang w:eastAsia="lt-LT"/>
        </w:rPr>
        <w:tab/>
        <w:t>V</w:t>
      </w:r>
      <w:r w:rsidR="003868F5" w:rsidRPr="0090281B">
        <w:rPr>
          <w:b/>
          <w:color w:val="000000" w:themeColor="text1"/>
          <w:szCs w:val="24"/>
          <w:lang w:eastAsia="lt-LT"/>
        </w:rPr>
        <w:t>eiklos, kurios nebuvo planuotos ir nustatytos, bet įvykdytos</w:t>
      </w:r>
    </w:p>
    <w:p w:rsidR="00C54DA8" w:rsidRPr="0090281B" w:rsidRDefault="003868F5">
      <w:pPr>
        <w:tabs>
          <w:tab w:val="left" w:pos="284"/>
        </w:tabs>
        <w:overflowPunct w:val="0"/>
        <w:jc w:val="both"/>
        <w:textAlignment w:val="baseline"/>
        <w:rPr>
          <w:color w:val="000000" w:themeColor="text1"/>
          <w:sz w:val="20"/>
          <w:lang w:eastAsia="lt-LT"/>
        </w:rPr>
      </w:pPr>
      <w:r w:rsidRPr="0090281B">
        <w:rPr>
          <w:color w:val="000000" w:themeColor="text1"/>
          <w:sz w:val="20"/>
          <w:lang w:eastAsia="lt-LT"/>
        </w:rPr>
        <w:t>(pildoma, jei buvo atlikta papildomų, svarių įstaigos veiklos rezultatams)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5"/>
        <w:gridCol w:w="4693"/>
      </w:tblGrid>
      <w:tr w:rsidR="00317315" w:rsidRPr="0090281B" w:rsidTr="00596585">
        <w:tc>
          <w:tcPr>
            <w:tcW w:w="4805"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jc w:val="center"/>
              <w:textAlignment w:val="baseline"/>
              <w:rPr>
                <w:color w:val="000000" w:themeColor="text1"/>
                <w:szCs w:val="24"/>
                <w:lang w:eastAsia="lt-LT"/>
              </w:rPr>
            </w:pPr>
            <w:r w:rsidRPr="0090281B">
              <w:rPr>
                <w:color w:val="000000" w:themeColor="text1"/>
                <w:szCs w:val="24"/>
                <w:lang w:eastAsia="lt-LT"/>
              </w:rPr>
              <w:t>Užduotys / veiklos</w:t>
            </w:r>
          </w:p>
        </w:tc>
        <w:tc>
          <w:tcPr>
            <w:tcW w:w="4693"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jc w:val="center"/>
              <w:textAlignment w:val="baseline"/>
              <w:rPr>
                <w:color w:val="000000" w:themeColor="text1"/>
                <w:szCs w:val="24"/>
                <w:lang w:eastAsia="lt-LT"/>
              </w:rPr>
            </w:pPr>
            <w:r w:rsidRPr="0090281B">
              <w:rPr>
                <w:color w:val="000000" w:themeColor="text1"/>
                <w:szCs w:val="24"/>
                <w:lang w:eastAsia="lt-LT"/>
              </w:rPr>
              <w:t>Poveikis švietimo įstaigos veiklai</w:t>
            </w:r>
          </w:p>
        </w:tc>
      </w:tr>
      <w:tr w:rsidR="00317315" w:rsidRPr="0090281B" w:rsidTr="00596585">
        <w:tc>
          <w:tcPr>
            <w:tcW w:w="4805" w:type="dxa"/>
            <w:tcBorders>
              <w:top w:val="single" w:sz="4" w:space="0" w:color="auto"/>
              <w:left w:val="single" w:sz="4" w:space="0" w:color="auto"/>
              <w:bottom w:val="single" w:sz="4" w:space="0" w:color="auto"/>
              <w:right w:val="single" w:sz="4" w:space="0" w:color="auto"/>
            </w:tcBorders>
          </w:tcPr>
          <w:p w:rsidR="00325B9B" w:rsidRPr="0090281B" w:rsidRDefault="00ED4735" w:rsidP="00EC11D7">
            <w:pPr>
              <w:overflowPunct w:val="0"/>
              <w:textAlignment w:val="baseline"/>
              <w:rPr>
                <w:color w:val="000000" w:themeColor="text1"/>
                <w:szCs w:val="24"/>
                <w:lang w:eastAsia="lt-LT"/>
              </w:rPr>
            </w:pPr>
            <w:r>
              <w:rPr>
                <w:color w:val="000000" w:themeColor="text1"/>
                <w:szCs w:val="24"/>
                <w:lang w:eastAsia="lt-LT"/>
              </w:rPr>
              <w:t>3.1.</w:t>
            </w:r>
          </w:p>
        </w:tc>
        <w:tc>
          <w:tcPr>
            <w:tcW w:w="4693" w:type="dxa"/>
            <w:tcBorders>
              <w:top w:val="single" w:sz="4" w:space="0" w:color="auto"/>
              <w:left w:val="single" w:sz="4" w:space="0" w:color="auto"/>
              <w:bottom w:val="single" w:sz="4" w:space="0" w:color="auto"/>
              <w:right w:val="single" w:sz="4" w:space="0" w:color="auto"/>
            </w:tcBorders>
          </w:tcPr>
          <w:p w:rsidR="00325B9B" w:rsidRPr="0090281B" w:rsidRDefault="00325B9B" w:rsidP="00EC11D7">
            <w:pPr>
              <w:overflowPunct w:val="0"/>
              <w:textAlignment w:val="baseline"/>
              <w:rPr>
                <w:color w:val="000000" w:themeColor="text1"/>
                <w:szCs w:val="24"/>
                <w:highlight w:val="yellow"/>
                <w:lang w:eastAsia="lt-LT"/>
              </w:rPr>
            </w:pPr>
          </w:p>
        </w:tc>
      </w:tr>
      <w:tr w:rsidR="00317315" w:rsidRPr="0090281B" w:rsidTr="00596585">
        <w:tc>
          <w:tcPr>
            <w:tcW w:w="4805" w:type="dxa"/>
            <w:tcBorders>
              <w:top w:val="single" w:sz="4" w:space="0" w:color="auto"/>
              <w:left w:val="single" w:sz="4" w:space="0" w:color="auto"/>
              <w:bottom w:val="single" w:sz="4" w:space="0" w:color="auto"/>
              <w:right w:val="single" w:sz="4" w:space="0" w:color="auto"/>
            </w:tcBorders>
          </w:tcPr>
          <w:p w:rsidR="00325B9B" w:rsidRPr="0090281B" w:rsidRDefault="00ED4735" w:rsidP="00452CA6">
            <w:pPr>
              <w:overflowPunct w:val="0"/>
              <w:textAlignment w:val="baseline"/>
              <w:rPr>
                <w:color w:val="000000" w:themeColor="text1"/>
                <w:szCs w:val="24"/>
                <w:lang w:eastAsia="lt-LT"/>
              </w:rPr>
            </w:pPr>
            <w:r>
              <w:rPr>
                <w:color w:val="000000" w:themeColor="text1"/>
                <w:szCs w:val="24"/>
                <w:lang w:eastAsia="lt-LT"/>
              </w:rPr>
              <w:t>3.2.</w:t>
            </w:r>
          </w:p>
        </w:tc>
        <w:tc>
          <w:tcPr>
            <w:tcW w:w="4693" w:type="dxa"/>
            <w:tcBorders>
              <w:top w:val="single" w:sz="4" w:space="0" w:color="auto"/>
              <w:left w:val="single" w:sz="4" w:space="0" w:color="auto"/>
              <w:bottom w:val="single" w:sz="4" w:space="0" w:color="auto"/>
              <w:right w:val="single" w:sz="4" w:space="0" w:color="auto"/>
            </w:tcBorders>
          </w:tcPr>
          <w:p w:rsidR="00C45D6F" w:rsidRPr="0090281B" w:rsidRDefault="00C45D6F" w:rsidP="00957B46">
            <w:pPr>
              <w:ind w:hanging="93"/>
              <w:rPr>
                <w:color w:val="000000" w:themeColor="text1"/>
                <w:szCs w:val="24"/>
                <w:lang w:eastAsia="lt-LT"/>
              </w:rPr>
            </w:pPr>
          </w:p>
        </w:tc>
      </w:tr>
      <w:tr w:rsidR="00317315" w:rsidRPr="0090281B" w:rsidTr="00596585">
        <w:tc>
          <w:tcPr>
            <w:tcW w:w="4805" w:type="dxa"/>
            <w:tcBorders>
              <w:top w:val="single" w:sz="4" w:space="0" w:color="auto"/>
              <w:left w:val="single" w:sz="4" w:space="0" w:color="auto"/>
              <w:bottom w:val="single" w:sz="4" w:space="0" w:color="auto"/>
              <w:right w:val="single" w:sz="4" w:space="0" w:color="auto"/>
            </w:tcBorders>
            <w:hideMark/>
          </w:tcPr>
          <w:p w:rsidR="00325B9B" w:rsidRPr="0090281B" w:rsidRDefault="00325B9B" w:rsidP="001567CC">
            <w:pPr>
              <w:overflowPunct w:val="0"/>
              <w:textAlignment w:val="baseline"/>
              <w:rPr>
                <w:color w:val="000000" w:themeColor="text1"/>
                <w:szCs w:val="24"/>
                <w:lang w:eastAsia="lt-LT"/>
              </w:rPr>
            </w:pPr>
            <w:r w:rsidRPr="0090281B">
              <w:rPr>
                <w:color w:val="000000" w:themeColor="text1"/>
                <w:szCs w:val="24"/>
                <w:lang w:eastAsia="lt-LT"/>
              </w:rPr>
              <w:t>3.3.</w:t>
            </w:r>
            <w:r w:rsidR="00D914ED" w:rsidRPr="0090281B">
              <w:rPr>
                <w:color w:val="000000" w:themeColor="text1"/>
                <w:szCs w:val="24"/>
                <w:lang w:eastAsia="lt-LT"/>
              </w:rPr>
              <w:t xml:space="preserve"> </w:t>
            </w:r>
          </w:p>
        </w:tc>
        <w:tc>
          <w:tcPr>
            <w:tcW w:w="4693" w:type="dxa"/>
            <w:tcBorders>
              <w:top w:val="single" w:sz="4" w:space="0" w:color="auto"/>
              <w:left w:val="single" w:sz="4" w:space="0" w:color="auto"/>
              <w:bottom w:val="single" w:sz="4" w:space="0" w:color="auto"/>
              <w:right w:val="single" w:sz="4" w:space="0" w:color="auto"/>
            </w:tcBorders>
          </w:tcPr>
          <w:p w:rsidR="00325B9B" w:rsidRPr="0090281B" w:rsidRDefault="00325B9B" w:rsidP="00325B9B">
            <w:pPr>
              <w:overflowPunct w:val="0"/>
              <w:jc w:val="center"/>
              <w:textAlignment w:val="baseline"/>
              <w:rPr>
                <w:color w:val="000000" w:themeColor="text1"/>
                <w:szCs w:val="24"/>
                <w:highlight w:val="yellow"/>
                <w:lang w:eastAsia="lt-LT"/>
              </w:rPr>
            </w:pPr>
          </w:p>
        </w:tc>
      </w:tr>
      <w:tr w:rsidR="00317315" w:rsidRPr="0090281B" w:rsidTr="00596585">
        <w:tc>
          <w:tcPr>
            <w:tcW w:w="4805" w:type="dxa"/>
            <w:tcBorders>
              <w:top w:val="single" w:sz="4" w:space="0" w:color="auto"/>
              <w:left w:val="single" w:sz="4" w:space="0" w:color="auto"/>
              <w:bottom w:val="single" w:sz="4" w:space="0" w:color="auto"/>
              <w:right w:val="single" w:sz="4" w:space="0" w:color="auto"/>
            </w:tcBorders>
            <w:hideMark/>
          </w:tcPr>
          <w:p w:rsidR="00325B9B" w:rsidRPr="0090281B" w:rsidRDefault="00325B9B" w:rsidP="001567CC">
            <w:pPr>
              <w:overflowPunct w:val="0"/>
              <w:textAlignment w:val="baseline"/>
              <w:rPr>
                <w:color w:val="000000" w:themeColor="text1"/>
                <w:szCs w:val="24"/>
                <w:lang w:eastAsia="lt-LT"/>
              </w:rPr>
            </w:pPr>
            <w:r w:rsidRPr="0090281B">
              <w:rPr>
                <w:color w:val="000000" w:themeColor="text1"/>
                <w:szCs w:val="24"/>
                <w:lang w:eastAsia="lt-LT"/>
              </w:rPr>
              <w:t>3.4.</w:t>
            </w:r>
            <w:r w:rsidR="001567CC" w:rsidRPr="0090281B">
              <w:rPr>
                <w:color w:val="000000" w:themeColor="text1"/>
                <w:szCs w:val="24"/>
                <w:lang w:eastAsia="lt-LT"/>
              </w:rPr>
              <w:t xml:space="preserve"> </w:t>
            </w:r>
          </w:p>
        </w:tc>
        <w:tc>
          <w:tcPr>
            <w:tcW w:w="4693" w:type="dxa"/>
            <w:tcBorders>
              <w:top w:val="single" w:sz="4" w:space="0" w:color="auto"/>
              <w:left w:val="single" w:sz="4" w:space="0" w:color="auto"/>
              <w:bottom w:val="single" w:sz="4" w:space="0" w:color="auto"/>
              <w:right w:val="single" w:sz="4" w:space="0" w:color="auto"/>
            </w:tcBorders>
          </w:tcPr>
          <w:p w:rsidR="00325B9B" w:rsidRPr="0090281B" w:rsidRDefault="00325B9B" w:rsidP="00325B9B">
            <w:pPr>
              <w:overflowPunct w:val="0"/>
              <w:jc w:val="center"/>
              <w:textAlignment w:val="baseline"/>
              <w:rPr>
                <w:color w:val="000000" w:themeColor="text1"/>
                <w:szCs w:val="24"/>
                <w:highlight w:val="yellow"/>
                <w:lang w:eastAsia="lt-LT"/>
              </w:rPr>
            </w:pPr>
          </w:p>
        </w:tc>
      </w:tr>
      <w:tr w:rsidR="00596585" w:rsidRPr="0090281B" w:rsidTr="00596585">
        <w:tc>
          <w:tcPr>
            <w:tcW w:w="4805" w:type="dxa"/>
            <w:tcBorders>
              <w:top w:val="single" w:sz="4" w:space="0" w:color="auto"/>
              <w:left w:val="single" w:sz="4" w:space="0" w:color="auto"/>
              <w:bottom w:val="single" w:sz="4" w:space="0" w:color="auto"/>
              <w:right w:val="single" w:sz="4" w:space="0" w:color="auto"/>
            </w:tcBorders>
            <w:hideMark/>
          </w:tcPr>
          <w:p w:rsidR="00325B9B" w:rsidRPr="0090281B" w:rsidRDefault="00325B9B" w:rsidP="001567CC">
            <w:pPr>
              <w:overflowPunct w:val="0"/>
              <w:textAlignment w:val="baseline"/>
              <w:rPr>
                <w:color w:val="000000" w:themeColor="text1"/>
                <w:szCs w:val="24"/>
                <w:lang w:eastAsia="lt-LT"/>
              </w:rPr>
            </w:pPr>
            <w:r w:rsidRPr="0090281B">
              <w:rPr>
                <w:color w:val="000000" w:themeColor="text1"/>
                <w:szCs w:val="24"/>
                <w:lang w:eastAsia="lt-LT"/>
              </w:rPr>
              <w:t>3.5.</w:t>
            </w:r>
            <w:r w:rsidR="002F18AD" w:rsidRPr="0090281B">
              <w:rPr>
                <w:color w:val="000000"/>
                <w:szCs w:val="24"/>
              </w:rPr>
              <w:t xml:space="preserve"> </w:t>
            </w:r>
          </w:p>
        </w:tc>
        <w:tc>
          <w:tcPr>
            <w:tcW w:w="4693" w:type="dxa"/>
            <w:tcBorders>
              <w:top w:val="single" w:sz="4" w:space="0" w:color="auto"/>
              <w:left w:val="single" w:sz="4" w:space="0" w:color="auto"/>
              <w:bottom w:val="single" w:sz="4" w:space="0" w:color="auto"/>
              <w:right w:val="single" w:sz="4" w:space="0" w:color="auto"/>
            </w:tcBorders>
          </w:tcPr>
          <w:p w:rsidR="00325B9B" w:rsidRPr="0090281B" w:rsidRDefault="00325B9B" w:rsidP="00325B9B">
            <w:pPr>
              <w:overflowPunct w:val="0"/>
              <w:jc w:val="center"/>
              <w:textAlignment w:val="baseline"/>
              <w:rPr>
                <w:color w:val="000000" w:themeColor="text1"/>
                <w:szCs w:val="24"/>
                <w:highlight w:val="yellow"/>
                <w:lang w:eastAsia="lt-LT"/>
              </w:rPr>
            </w:pPr>
          </w:p>
        </w:tc>
      </w:tr>
    </w:tbl>
    <w:p w:rsidR="00C54DA8" w:rsidRPr="0090281B" w:rsidRDefault="00C54DA8">
      <w:pPr>
        <w:overflowPunct w:val="0"/>
        <w:textAlignment w:val="baseline"/>
        <w:rPr>
          <w:color w:val="000000" w:themeColor="text1"/>
          <w:sz w:val="20"/>
          <w:highlight w:val="yellow"/>
        </w:rPr>
      </w:pPr>
    </w:p>
    <w:p w:rsidR="00EF13FC" w:rsidRDefault="00EF13FC">
      <w:pPr>
        <w:tabs>
          <w:tab w:val="left" w:pos="284"/>
        </w:tabs>
        <w:overflowPunct w:val="0"/>
        <w:textAlignment w:val="baseline"/>
        <w:rPr>
          <w:b/>
          <w:color w:val="000000" w:themeColor="text1"/>
          <w:szCs w:val="24"/>
          <w:lang w:eastAsia="lt-LT"/>
        </w:rPr>
      </w:pPr>
    </w:p>
    <w:p w:rsidR="00EF13FC" w:rsidRDefault="00EF13FC">
      <w:pPr>
        <w:tabs>
          <w:tab w:val="left" w:pos="284"/>
        </w:tabs>
        <w:overflowPunct w:val="0"/>
        <w:textAlignment w:val="baseline"/>
        <w:rPr>
          <w:b/>
          <w:color w:val="000000" w:themeColor="text1"/>
          <w:szCs w:val="24"/>
          <w:lang w:eastAsia="lt-LT"/>
        </w:rPr>
      </w:pPr>
    </w:p>
    <w:p w:rsidR="00C54DA8" w:rsidRPr="0090281B" w:rsidRDefault="003868F5">
      <w:pPr>
        <w:tabs>
          <w:tab w:val="left" w:pos="284"/>
        </w:tabs>
        <w:overflowPunct w:val="0"/>
        <w:textAlignment w:val="baseline"/>
        <w:rPr>
          <w:b/>
          <w:color w:val="000000" w:themeColor="text1"/>
          <w:szCs w:val="24"/>
          <w:lang w:eastAsia="lt-LT"/>
        </w:rPr>
      </w:pPr>
      <w:r w:rsidRPr="0090281B">
        <w:rPr>
          <w:b/>
          <w:color w:val="000000" w:themeColor="text1"/>
          <w:szCs w:val="24"/>
          <w:lang w:eastAsia="lt-LT"/>
        </w:rPr>
        <w:lastRenderedPageBreak/>
        <w:t xml:space="preserve">4. Pakoreguotos praėjusių metų veiklos užduotys (jei tokių buvo) ir rezultatai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1"/>
        <w:gridCol w:w="2127"/>
        <w:gridCol w:w="3005"/>
        <w:gridCol w:w="1985"/>
      </w:tblGrid>
      <w:tr w:rsidR="00317315" w:rsidRPr="0090281B" w:rsidTr="006605C4">
        <w:tc>
          <w:tcPr>
            <w:tcW w:w="2381"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jc w:val="center"/>
              <w:textAlignment w:val="baseline"/>
              <w:rPr>
                <w:color w:val="000000" w:themeColor="text1"/>
                <w:szCs w:val="24"/>
                <w:lang w:eastAsia="lt-LT"/>
              </w:rPr>
            </w:pPr>
            <w:r w:rsidRPr="0090281B">
              <w:rPr>
                <w:color w:val="000000" w:themeColor="text1"/>
                <w:szCs w:val="24"/>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jc w:val="center"/>
              <w:textAlignment w:val="baseline"/>
              <w:rPr>
                <w:color w:val="000000" w:themeColor="text1"/>
                <w:szCs w:val="24"/>
                <w:lang w:eastAsia="lt-LT"/>
              </w:rPr>
            </w:pPr>
            <w:r w:rsidRPr="0090281B">
              <w:rPr>
                <w:color w:val="000000" w:themeColor="text1"/>
                <w:szCs w:val="24"/>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jc w:val="center"/>
              <w:textAlignment w:val="baseline"/>
              <w:rPr>
                <w:color w:val="000000" w:themeColor="text1"/>
                <w:szCs w:val="24"/>
                <w:lang w:eastAsia="lt-LT"/>
              </w:rPr>
            </w:pPr>
            <w:r w:rsidRPr="0090281B">
              <w:rPr>
                <w:color w:val="000000" w:themeColor="text1"/>
                <w:szCs w:val="24"/>
                <w:lang w:eastAsia="lt-LT"/>
              </w:rPr>
              <w:t>Rezultatų vertinimo rodikliai (kuriais vadovaujantis vertinama, ar nustatytos užduotys įvykdytos)</w:t>
            </w:r>
          </w:p>
        </w:tc>
        <w:tc>
          <w:tcPr>
            <w:tcW w:w="1985"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jc w:val="center"/>
              <w:textAlignment w:val="baseline"/>
              <w:rPr>
                <w:color w:val="000000" w:themeColor="text1"/>
                <w:szCs w:val="24"/>
                <w:lang w:eastAsia="lt-LT"/>
              </w:rPr>
            </w:pPr>
            <w:r w:rsidRPr="0090281B">
              <w:rPr>
                <w:color w:val="000000" w:themeColor="text1"/>
                <w:szCs w:val="24"/>
                <w:lang w:eastAsia="lt-LT"/>
              </w:rPr>
              <w:t>Pasiekti rezultatai ir jų rodikliai</w:t>
            </w:r>
          </w:p>
        </w:tc>
      </w:tr>
      <w:tr w:rsidR="00317315" w:rsidRPr="0090281B" w:rsidTr="006605C4">
        <w:tc>
          <w:tcPr>
            <w:tcW w:w="2381"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textAlignment w:val="baseline"/>
              <w:rPr>
                <w:color w:val="000000" w:themeColor="text1"/>
                <w:szCs w:val="24"/>
                <w:lang w:eastAsia="lt-LT"/>
              </w:rPr>
            </w:pPr>
            <w:r w:rsidRPr="0090281B">
              <w:rPr>
                <w:color w:val="000000" w:themeColor="text1"/>
                <w:szCs w:val="24"/>
                <w:lang w:eastAsia="lt-LT"/>
              </w:rPr>
              <w:t>4.1.</w:t>
            </w:r>
            <w:r w:rsidR="00C62DB1">
              <w:rPr>
                <w:color w:val="000000" w:themeColor="text1"/>
                <w:szCs w:val="24"/>
                <w:lang w:eastAsia="lt-LT"/>
              </w:rPr>
              <w:t xml:space="preserve"> </w:t>
            </w:r>
          </w:p>
        </w:tc>
        <w:tc>
          <w:tcPr>
            <w:tcW w:w="2127"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r>
      <w:tr w:rsidR="00317315" w:rsidRPr="0090281B" w:rsidTr="006605C4">
        <w:tc>
          <w:tcPr>
            <w:tcW w:w="2381"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textAlignment w:val="baseline"/>
              <w:rPr>
                <w:color w:val="000000" w:themeColor="text1"/>
                <w:szCs w:val="24"/>
                <w:lang w:eastAsia="lt-LT"/>
              </w:rPr>
            </w:pPr>
            <w:r w:rsidRPr="0090281B">
              <w:rPr>
                <w:color w:val="000000" w:themeColor="text1"/>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r>
      <w:tr w:rsidR="00317315" w:rsidRPr="0090281B" w:rsidTr="006605C4">
        <w:tc>
          <w:tcPr>
            <w:tcW w:w="2381"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textAlignment w:val="baseline"/>
              <w:rPr>
                <w:color w:val="000000" w:themeColor="text1"/>
                <w:szCs w:val="24"/>
                <w:lang w:eastAsia="lt-LT"/>
              </w:rPr>
            </w:pPr>
            <w:r w:rsidRPr="0090281B">
              <w:rPr>
                <w:color w:val="000000" w:themeColor="text1"/>
                <w:szCs w:val="24"/>
                <w:lang w:eastAsia="lt-LT"/>
              </w:rPr>
              <w:t>4.3.</w:t>
            </w:r>
          </w:p>
        </w:tc>
        <w:tc>
          <w:tcPr>
            <w:tcW w:w="2127"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r>
      <w:tr w:rsidR="00317315" w:rsidRPr="0090281B" w:rsidTr="006605C4">
        <w:tc>
          <w:tcPr>
            <w:tcW w:w="2381"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textAlignment w:val="baseline"/>
              <w:rPr>
                <w:color w:val="000000" w:themeColor="text1"/>
                <w:szCs w:val="24"/>
                <w:lang w:eastAsia="lt-LT"/>
              </w:rPr>
            </w:pPr>
            <w:r w:rsidRPr="0090281B">
              <w:rPr>
                <w:color w:val="000000" w:themeColor="text1"/>
                <w:szCs w:val="24"/>
                <w:lang w:eastAsia="lt-LT"/>
              </w:rPr>
              <w:t>4.4.</w:t>
            </w:r>
          </w:p>
        </w:tc>
        <w:tc>
          <w:tcPr>
            <w:tcW w:w="2127"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r>
      <w:tr w:rsidR="00C54DA8" w:rsidRPr="0090281B" w:rsidTr="006605C4">
        <w:tc>
          <w:tcPr>
            <w:tcW w:w="2381" w:type="dxa"/>
            <w:tcBorders>
              <w:top w:val="single" w:sz="4" w:space="0" w:color="auto"/>
              <w:left w:val="single" w:sz="4" w:space="0" w:color="auto"/>
              <w:bottom w:val="single" w:sz="4" w:space="0" w:color="auto"/>
              <w:right w:val="single" w:sz="4" w:space="0" w:color="auto"/>
            </w:tcBorders>
            <w:vAlign w:val="center"/>
            <w:hideMark/>
          </w:tcPr>
          <w:p w:rsidR="00C54DA8" w:rsidRPr="0090281B" w:rsidRDefault="003868F5">
            <w:pPr>
              <w:overflowPunct w:val="0"/>
              <w:textAlignment w:val="baseline"/>
              <w:rPr>
                <w:color w:val="000000" w:themeColor="text1"/>
                <w:szCs w:val="24"/>
                <w:lang w:eastAsia="lt-LT"/>
              </w:rPr>
            </w:pPr>
            <w:r w:rsidRPr="0090281B">
              <w:rPr>
                <w:color w:val="000000" w:themeColor="text1"/>
                <w:szCs w:val="24"/>
                <w:lang w:eastAsia="lt-LT"/>
              </w:rPr>
              <w:t>4.5.</w:t>
            </w:r>
          </w:p>
        </w:tc>
        <w:tc>
          <w:tcPr>
            <w:tcW w:w="2127"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c>
          <w:tcPr>
            <w:tcW w:w="1985" w:type="dxa"/>
            <w:tcBorders>
              <w:top w:val="single" w:sz="4" w:space="0" w:color="auto"/>
              <w:left w:val="single" w:sz="4" w:space="0" w:color="auto"/>
              <w:bottom w:val="single" w:sz="4" w:space="0" w:color="auto"/>
              <w:right w:val="single" w:sz="4" w:space="0" w:color="auto"/>
            </w:tcBorders>
            <w:vAlign w:val="center"/>
          </w:tcPr>
          <w:p w:rsidR="00C54DA8" w:rsidRPr="0090281B" w:rsidRDefault="00C54DA8">
            <w:pPr>
              <w:overflowPunct w:val="0"/>
              <w:textAlignment w:val="baseline"/>
              <w:rPr>
                <w:color w:val="000000" w:themeColor="text1"/>
                <w:szCs w:val="24"/>
                <w:lang w:eastAsia="lt-LT"/>
              </w:rPr>
            </w:pPr>
          </w:p>
        </w:tc>
      </w:tr>
    </w:tbl>
    <w:p w:rsidR="00C54DA8" w:rsidRPr="0090281B" w:rsidRDefault="00C54DA8">
      <w:pPr>
        <w:overflowPunct w:val="0"/>
        <w:jc w:val="center"/>
        <w:textAlignment w:val="baseline"/>
        <w:rPr>
          <w:color w:val="000000" w:themeColor="text1"/>
          <w:sz w:val="20"/>
          <w:lang w:eastAsia="lt-LT"/>
        </w:rPr>
      </w:pPr>
    </w:p>
    <w:p w:rsidR="003D013C" w:rsidRPr="0090281B" w:rsidRDefault="003D013C" w:rsidP="0090281B">
      <w:pPr>
        <w:jc w:val="center"/>
        <w:rPr>
          <w:b/>
        </w:rPr>
      </w:pPr>
      <w:r w:rsidRPr="0090281B">
        <w:rPr>
          <w:b/>
        </w:rPr>
        <w:t>III SKYRIUS</w:t>
      </w:r>
    </w:p>
    <w:p w:rsidR="003D013C" w:rsidRPr="0090281B" w:rsidRDefault="003D013C" w:rsidP="003D013C">
      <w:pPr>
        <w:jc w:val="center"/>
        <w:rPr>
          <w:b/>
        </w:rPr>
      </w:pPr>
      <w:r w:rsidRPr="0090281B">
        <w:rPr>
          <w:b/>
        </w:rPr>
        <w:t>GEBĖJIMŲ ATLIKTI PAREIGYBĖS APRAŠYME NUSTATYTAS FUNKCIJAS VERTINIMAS</w:t>
      </w:r>
    </w:p>
    <w:p w:rsidR="003D013C" w:rsidRPr="0090281B" w:rsidRDefault="003D013C" w:rsidP="003D013C">
      <w:pPr>
        <w:jc w:val="center"/>
        <w:rPr>
          <w:sz w:val="22"/>
          <w:szCs w:val="22"/>
        </w:rPr>
      </w:pPr>
    </w:p>
    <w:p w:rsidR="003D013C" w:rsidRPr="0090281B" w:rsidRDefault="003D013C" w:rsidP="003D013C">
      <w:pPr>
        <w:rPr>
          <w:b/>
        </w:rPr>
      </w:pPr>
      <w:r w:rsidRPr="0090281B">
        <w:rPr>
          <w:b/>
        </w:rPr>
        <w:t>5. Gebėjimų atlikti pareigybės aprašyme nustatytas funkcijas vertinimas</w:t>
      </w:r>
    </w:p>
    <w:p w:rsidR="003D013C" w:rsidRPr="0090281B" w:rsidRDefault="003D013C" w:rsidP="003D013C">
      <w:pPr>
        <w:tabs>
          <w:tab w:val="left" w:pos="284"/>
        </w:tabs>
        <w:jc w:val="both"/>
        <w:rPr>
          <w:sz w:val="20"/>
          <w:lang w:eastAsia="lt-LT"/>
        </w:rPr>
      </w:pPr>
      <w:r w:rsidRPr="0090281B">
        <w:rPr>
          <w:sz w:val="20"/>
          <w:lang w:eastAsia="lt-LT"/>
        </w:rPr>
        <w:t>(pildoma, aptariant ataskaitą)</w:t>
      </w:r>
    </w:p>
    <w:tbl>
      <w:tblPr>
        <w:tblW w:w="9498" w:type="dxa"/>
        <w:tblInd w:w="-5" w:type="dxa"/>
        <w:tblCellMar>
          <w:left w:w="10" w:type="dxa"/>
          <w:right w:w="10" w:type="dxa"/>
        </w:tblCellMar>
        <w:tblLook w:val="04A0" w:firstRow="1" w:lastRow="0" w:firstColumn="1" w:lastColumn="0" w:noHBand="0" w:noVBand="1"/>
      </w:tblPr>
      <w:tblGrid>
        <w:gridCol w:w="6804"/>
        <w:gridCol w:w="2694"/>
      </w:tblGrid>
      <w:tr w:rsidR="003D013C" w:rsidRPr="0090281B" w:rsidTr="006605C4">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13C" w:rsidRPr="0090281B" w:rsidRDefault="003D013C" w:rsidP="00A83465">
            <w:pPr>
              <w:jc w:val="center"/>
              <w:rPr>
                <w:sz w:val="22"/>
                <w:szCs w:val="22"/>
              </w:rPr>
            </w:pPr>
            <w:r w:rsidRPr="0090281B">
              <w:rPr>
                <w:sz w:val="22"/>
                <w:szCs w:val="22"/>
              </w:rPr>
              <w:t>Vertinimo kriterijai</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13C" w:rsidRPr="0090281B" w:rsidRDefault="003D013C" w:rsidP="00A83465">
            <w:pPr>
              <w:jc w:val="center"/>
              <w:rPr>
                <w:sz w:val="22"/>
                <w:szCs w:val="22"/>
              </w:rPr>
            </w:pPr>
            <w:r w:rsidRPr="0090281B">
              <w:rPr>
                <w:sz w:val="22"/>
                <w:szCs w:val="22"/>
              </w:rPr>
              <w:t>Pažymimas atitinkamas langelis:</w:t>
            </w:r>
          </w:p>
          <w:p w:rsidR="003D013C" w:rsidRPr="0090281B" w:rsidRDefault="003D013C" w:rsidP="00A83465">
            <w:pPr>
              <w:jc w:val="center"/>
              <w:rPr>
                <w:b/>
                <w:sz w:val="22"/>
                <w:szCs w:val="22"/>
              </w:rPr>
            </w:pPr>
            <w:r w:rsidRPr="0090281B">
              <w:rPr>
                <w:sz w:val="22"/>
                <w:szCs w:val="22"/>
              </w:rPr>
              <w:t>1 – nepatenkinamai;</w:t>
            </w:r>
          </w:p>
          <w:p w:rsidR="003D013C" w:rsidRPr="0090281B" w:rsidRDefault="003D013C" w:rsidP="00A83465">
            <w:pPr>
              <w:jc w:val="center"/>
              <w:rPr>
                <w:sz w:val="22"/>
                <w:szCs w:val="22"/>
              </w:rPr>
            </w:pPr>
            <w:r w:rsidRPr="0090281B">
              <w:rPr>
                <w:sz w:val="22"/>
                <w:szCs w:val="22"/>
              </w:rPr>
              <w:t>2 – patenkinamai;</w:t>
            </w:r>
          </w:p>
          <w:p w:rsidR="003D013C" w:rsidRPr="0090281B" w:rsidRDefault="003D013C" w:rsidP="00A83465">
            <w:pPr>
              <w:jc w:val="center"/>
              <w:rPr>
                <w:b/>
                <w:sz w:val="22"/>
                <w:szCs w:val="22"/>
              </w:rPr>
            </w:pPr>
            <w:r w:rsidRPr="0090281B">
              <w:rPr>
                <w:sz w:val="22"/>
                <w:szCs w:val="22"/>
              </w:rPr>
              <w:t>3 – gerai;</w:t>
            </w:r>
          </w:p>
          <w:p w:rsidR="003D013C" w:rsidRPr="0090281B" w:rsidRDefault="003D013C" w:rsidP="00A83465">
            <w:pPr>
              <w:jc w:val="center"/>
              <w:rPr>
                <w:sz w:val="22"/>
                <w:szCs w:val="22"/>
              </w:rPr>
            </w:pPr>
            <w:r w:rsidRPr="0090281B">
              <w:rPr>
                <w:sz w:val="22"/>
                <w:szCs w:val="22"/>
              </w:rPr>
              <w:t>4 – labai gerai</w:t>
            </w:r>
          </w:p>
        </w:tc>
      </w:tr>
      <w:tr w:rsidR="003D013C" w:rsidRPr="0090281B" w:rsidTr="006605C4">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13C" w:rsidRPr="0090281B" w:rsidRDefault="003D013C" w:rsidP="00A83465">
            <w:pPr>
              <w:jc w:val="both"/>
              <w:rPr>
                <w:sz w:val="22"/>
                <w:szCs w:val="22"/>
              </w:rPr>
            </w:pPr>
            <w:r w:rsidRPr="0090281B">
              <w:rPr>
                <w:sz w:val="22"/>
                <w:szCs w:val="22"/>
              </w:rPr>
              <w:t>5.1. Informacijos ir situacijos valdymas atliekant funkcijas</w:t>
            </w:r>
            <w:r w:rsidRPr="0090281B">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13C" w:rsidRPr="0090281B" w:rsidRDefault="003D013C" w:rsidP="00A83465">
            <w:pPr>
              <w:rPr>
                <w:sz w:val="22"/>
                <w:szCs w:val="22"/>
              </w:rPr>
            </w:pPr>
            <w:r w:rsidRPr="0090281B">
              <w:rPr>
                <w:sz w:val="22"/>
                <w:szCs w:val="22"/>
              </w:rPr>
              <w:t>1□</w:t>
            </w:r>
            <w:r w:rsidR="00C72991">
              <w:rPr>
                <w:sz w:val="22"/>
                <w:szCs w:val="22"/>
              </w:rPr>
              <w:t xml:space="preserve">  </w:t>
            </w:r>
            <w:r w:rsidRPr="0090281B">
              <w:rPr>
                <w:sz w:val="22"/>
                <w:szCs w:val="22"/>
              </w:rPr>
              <w:t>2□</w:t>
            </w:r>
            <w:r w:rsidR="00C72991">
              <w:rPr>
                <w:sz w:val="22"/>
                <w:szCs w:val="22"/>
              </w:rPr>
              <w:t xml:space="preserve">  </w:t>
            </w:r>
            <w:r w:rsidRPr="0090281B">
              <w:rPr>
                <w:sz w:val="22"/>
                <w:szCs w:val="22"/>
              </w:rPr>
              <w:t>3□</w:t>
            </w:r>
            <w:r w:rsidR="00C72991">
              <w:rPr>
                <w:sz w:val="22"/>
                <w:szCs w:val="22"/>
              </w:rPr>
              <w:t xml:space="preserve">  </w:t>
            </w:r>
            <w:r w:rsidRPr="0090281B">
              <w:rPr>
                <w:sz w:val="22"/>
                <w:szCs w:val="22"/>
              </w:rPr>
              <w:t>4□</w:t>
            </w:r>
          </w:p>
        </w:tc>
      </w:tr>
      <w:tr w:rsidR="003D013C" w:rsidRPr="0090281B" w:rsidTr="006605C4">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13C" w:rsidRPr="0090281B" w:rsidRDefault="003D013C" w:rsidP="00A83465">
            <w:pPr>
              <w:jc w:val="both"/>
              <w:rPr>
                <w:sz w:val="22"/>
                <w:szCs w:val="22"/>
              </w:rPr>
            </w:pPr>
            <w:r w:rsidRPr="0090281B">
              <w:rPr>
                <w:sz w:val="22"/>
                <w:szCs w:val="22"/>
              </w:rPr>
              <w:t>5.2. Išteklių (žmogiškųjų, laiko ir materialinių) paskirstymas</w:t>
            </w:r>
            <w:r w:rsidRPr="0090281B">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13C" w:rsidRPr="0090281B" w:rsidRDefault="003D013C" w:rsidP="00A83465">
            <w:pPr>
              <w:tabs>
                <w:tab w:val="left" w:pos="690"/>
              </w:tabs>
              <w:ind w:hanging="19"/>
              <w:rPr>
                <w:sz w:val="22"/>
                <w:szCs w:val="22"/>
              </w:rPr>
            </w:pPr>
            <w:r w:rsidRPr="0090281B">
              <w:rPr>
                <w:sz w:val="22"/>
                <w:szCs w:val="22"/>
              </w:rPr>
              <w:t>1□</w:t>
            </w:r>
            <w:r w:rsidR="00C72991">
              <w:rPr>
                <w:sz w:val="22"/>
                <w:szCs w:val="22"/>
              </w:rPr>
              <w:t xml:space="preserve">  </w:t>
            </w:r>
            <w:r w:rsidRPr="0090281B">
              <w:rPr>
                <w:sz w:val="22"/>
                <w:szCs w:val="22"/>
              </w:rPr>
              <w:t>2□</w:t>
            </w:r>
            <w:r w:rsidR="00C72991">
              <w:rPr>
                <w:sz w:val="22"/>
                <w:szCs w:val="22"/>
              </w:rPr>
              <w:t xml:space="preserve">  </w:t>
            </w:r>
            <w:r w:rsidRPr="0090281B">
              <w:rPr>
                <w:sz w:val="22"/>
                <w:szCs w:val="22"/>
              </w:rPr>
              <w:t>3□</w:t>
            </w:r>
            <w:r w:rsidR="00C72991">
              <w:rPr>
                <w:sz w:val="22"/>
                <w:szCs w:val="22"/>
              </w:rPr>
              <w:t xml:space="preserve">  </w:t>
            </w:r>
            <w:r w:rsidRPr="0090281B">
              <w:rPr>
                <w:sz w:val="22"/>
                <w:szCs w:val="22"/>
              </w:rPr>
              <w:t>4□</w:t>
            </w:r>
          </w:p>
        </w:tc>
      </w:tr>
      <w:tr w:rsidR="003D013C" w:rsidRPr="0090281B" w:rsidTr="006605C4">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13C" w:rsidRPr="0090281B" w:rsidRDefault="003D013C" w:rsidP="00A83465">
            <w:pPr>
              <w:jc w:val="both"/>
              <w:rPr>
                <w:sz w:val="22"/>
                <w:szCs w:val="22"/>
              </w:rPr>
            </w:pPr>
            <w:r w:rsidRPr="0090281B">
              <w:rPr>
                <w:sz w:val="22"/>
                <w:szCs w:val="22"/>
              </w:rPr>
              <w:t>5.3. Lyderystės ir vadovavimo efektyvumas</w:t>
            </w:r>
            <w:r w:rsidRPr="0090281B">
              <w:rPr>
                <w:b/>
                <w:sz w:val="22"/>
                <w:szCs w:val="22"/>
              </w:rPr>
              <w:t xml:space="preserve"> </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13C" w:rsidRPr="0090281B" w:rsidRDefault="003D013C" w:rsidP="00A83465">
            <w:pPr>
              <w:rPr>
                <w:sz w:val="22"/>
                <w:szCs w:val="22"/>
              </w:rPr>
            </w:pPr>
            <w:r w:rsidRPr="0090281B">
              <w:rPr>
                <w:sz w:val="22"/>
                <w:szCs w:val="22"/>
              </w:rPr>
              <w:t>1□</w:t>
            </w:r>
            <w:r w:rsidR="00C72991">
              <w:rPr>
                <w:sz w:val="22"/>
                <w:szCs w:val="22"/>
              </w:rPr>
              <w:t xml:space="preserve">  </w:t>
            </w:r>
            <w:r w:rsidRPr="0090281B">
              <w:rPr>
                <w:sz w:val="22"/>
                <w:szCs w:val="22"/>
              </w:rPr>
              <w:t>2□</w:t>
            </w:r>
            <w:r w:rsidR="00C72991">
              <w:rPr>
                <w:sz w:val="22"/>
                <w:szCs w:val="22"/>
              </w:rPr>
              <w:t xml:space="preserve">  </w:t>
            </w:r>
            <w:r w:rsidRPr="0090281B">
              <w:rPr>
                <w:sz w:val="22"/>
                <w:szCs w:val="22"/>
              </w:rPr>
              <w:t>3□</w:t>
            </w:r>
            <w:r w:rsidR="00C72991">
              <w:rPr>
                <w:sz w:val="22"/>
                <w:szCs w:val="22"/>
              </w:rPr>
              <w:t xml:space="preserve">  </w:t>
            </w:r>
            <w:r w:rsidRPr="0090281B">
              <w:rPr>
                <w:sz w:val="22"/>
                <w:szCs w:val="22"/>
              </w:rPr>
              <w:t>4□</w:t>
            </w:r>
          </w:p>
        </w:tc>
      </w:tr>
      <w:tr w:rsidR="003D013C" w:rsidRPr="0090281B" w:rsidTr="006605C4">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13C" w:rsidRPr="0090281B" w:rsidRDefault="003D013C" w:rsidP="00A83465">
            <w:pPr>
              <w:jc w:val="both"/>
              <w:rPr>
                <w:sz w:val="22"/>
                <w:szCs w:val="22"/>
              </w:rPr>
            </w:pPr>
            <w:r w:rsidRPr="0090281B">
              <w:rPr>
                <w:sz w:val="22"/>
                <w:szCs w:val="22"/>
              </w:rPr>
              <w:t>5.4. Ž</w:t>
            </w:r>
            <w:r w:rsidRPr="0090281B">
              <w:rPr>
                <w:color w:val="000000"/>
                <w:sz w:val="22"/>
                <w:szCs w:val="22"/>
              </w:rPr>
              <w:t>inių, gebėjimų ir įgūdžių panaudojimas, atliekant funkcijas ir siekiant rezultatų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13C" w:rsidRPr="0090281B" w:rsidRDefault="003D013C" w:rsidP="00A83465">
            <w:pPr>
              <w:rPr>
                <w:sz w:val="22"/>
                <w:szCs w:val="22"/>
              </w:rPr>
            </w:pPr>
            <w:r w:rsidRPr="0090281B">
              <w:rPr>
                <w:sz w:val="22"/>
                <w:szCs w:val="22"/>
              </w:rPr>
              <w:t>1□</w:t>
            </w:r>
            <w:r w:rsidR="00C72991">
              <w:rPr>
                <w:sz w:val="22"/>
                <w:szCs w:val="22"/>
              </w:rPr>
              <w:t xml:space="preserve">  </w:t>
            </w:r>
            <w:r w:rsidRPr="0090281B">
              <w:rPr>
                <w:sz w:val="22"/>
                <w:szCs w:val="22"/>
              </w:rPr>
              <w:t>2□</w:t>
            </w:r>
            <w:r w:rsidR="00C72991">
              <w:rPr>
                <w:sz w:val="22"/>
                <w:szCs w:val="22"/>
              </w:rPr>
              <w:t xml:space="preserve">  </w:t>
            </w:r>
            <w:r w:rsidRPr="0090281B">
              <w:rPr>
                <w:sz w:val="22"/>
                <w:szCs w:val="22"/>
              </w:rPr>
              <w:t>3□</w:t>
            </w:r>
            <w:r w:rsidR="00C72991">
              <w:rPr>
                <w:sz w:val="22"/>
                <w:szCs w:val="22"/>
              </w:rPr>
              <w:t xml:space="preserve">  </w:t>
            </w:r>
            <w:r w:rsidRPr="0090281B">
              <w:rPr>
                <w:sz w:val="22"/>
                <w:szCs w:val="22"/>
              </w:rPr>
              <w:t>4□</w:t>
            </w:r>
          </w:p>
        </w:tc>
      </w:tr>
      <w:tr w:rsidR="003D013C" w:rsidRPr="0090281B" w:rsidTr="006605C4">
        <w:trPr>
          <w:trHeight w:val="1"/>
        </w:trPr>
        <w:tc>
          <w:tcPr>
            <w:tcW w:w="68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D013C" w:rsidRPr="0090281B" w:rsidRDefault="003D013C" w:rsidP="00A83465">
            <w:pPr>
              <w:rPr>
                <w:sz w:val="22"/>
                <w:szCs w:val="22"/>
              </w:rPr>
            </w:pPr>
            <w:r w:rsidRPr="0090281B">
              <w:rPr>
                <w:sz w:val="22"/>
                <w:szCs w:val="22"/>
              </w:rPr>
              <w:t>5.5. Bendras įvertinimas (pažymimas vidurkis)</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D013C" w:rsidRPr="0090281B" w:rsidRDefault="003D013C" w:rsidP="00A83465">
            <w:pPr>
              <w:rPr>
                <w:sz w:val="22"/>
                <w:szCs w:val="22"/>
              </w:rPr>
            </w:pPr>
            <w:r w:rsidRPr="0090281B">
              <w:rPr>
                <w:sz w:val="22"/>
                <w:szCs w:val="22"/>
              </w:rPr>
              <w:t>1□</w:t>
            </w:r>
            <w:r w:rsidR="00C72991">
              <w:rPr>
                <w:sz w:val="22"/>
                <w:szCs w:val="22"/>
              </w:rPr>
              <w:t xml:space="preserve">  </w:t>
            </w:r>
            <w:r w:rsidRPr="0090281B">
              <w:rPr>
                <w:sz w:val="22"/>
                <w:szCs w:val="22"/>
              </w:rPr>
              <w:t>2□</w:t>
            </w:r>
            <w:r w:rsidR="00C72991">
              <w:rPr>
                <w:sz w:val="22"/>
                <w:szCs w:val="22"/>
              </w:rPr>
              <w:t xml:space="preserve">  </w:t>
            </w:r>
            <w:r w:rsidRPr="0090281B">
              <w:rPr>
                <w:sz w:val="22"/>
                <w:szCs w:val="22"/>
              </w:rPr>
              <w:t>3□</w:t>
            </w:r>
            <w:r w:rsidR="00C72991">
              <w:rPr>
                <w:sz w:val="22"/>
                <w:szCs w:val="22"/>
              </w:rPr>
              <w:t xml:space="preserve">  </w:t>
            </w:r>
            <w:r w:rsidRPr="0090281B">
              <w:rPr>
                <w:sz w:val="22"/>
                <w:szCs w:val="22"/>
              </w:rPr>
              <w:t>4□</w:t>
            </w:r>
          </w:p>
        </w:tc>
      </w:tr>
    </w:tbl>
    <w:p w:rsidR="003D013C" w:rsidRPr="0090281B" w:rsidRDefault="003D013C" w:rsidP="003D013C">
      <w:pPr>
        <w:jc w:val="center"/>
        <w:rPr>
          <w:sz w:val="22"/>
          <w:szCs w:val="22"/>
          <w:lang w:eastAsia="lt-LT"/>
        </w:rPr>
      </w:pPr>
    </w:p>
    <w:p w:rsidR="003D013C" w:rsidRPr="0090281B" w:rsidRDefault="003D013C" w:rsidP="003D013C">
      <w:pPr>
        <w:jc w:val="center"/>
        <w:rPr>
          <w:b/>
          <w:szCs w:val="24"/>
          <w:lang w:eastAsia="lt-LT"/>
        </w:rPr>
      </w:pPr>
      <w:r w:rsidRPr="0090281B">
        <w:rPr>
          <w:b/>
          <w:szCs w:val="24"/>
          <w:lang w:eastAsia="lt-LT"/>
        </w:rPr>
        <w:t>IV SKYRIUS</w:t>
      </w:r>
    </w:p>
    <w:p w:rsidR="003D013C" w:rsidRPr="0090281B" w:rsidRDefault="003D013C" w:rsidP="003D013C">
      <w:pPr>
        <w:jc w:val="center"/>
        <w:rPr>
          <w:b/>
          <w:szCs w:val="24"/>
          <w:lang w:eastAsia="lt-LT"/>
        </w:rPr>
      </w:pPr>
      <w:r w:rsidRPr="0090281B">
        <w:rPr>
          <w:b/>
          <w:szCs w:val="24"/>
          <w:lang w:eastAsia="lt-LT"/>
        </w:rPr>
        <w:t>PASIEKTŲ REZULTATŲ VYKDANT UŽDUOTIS ĮSIVERTINIMAS IR KOMPETENCIJŲ TOBULINIMAS</w:t>
      </w:r>
    </w:p>
    <w:p w:rsidR="003D013C" w:rsidRPr="0090281B" w:rsidRDefault="003D013C" w:rsidP="003D013C">
      <w:pPr>
        <w:jc w:val="center"/>
        <w:rPr>
          <w:b/>
          <w:sz w:val="22"/>
          <w:szCs w:val="22"/>
          <w:lang w:eastAsia="lt-LT"/>
        </w:rPr>
      </w:pPr>
    </w:p>
    <w:p w:rsidR="003D013C" w:rsidRPr="0090281B" w:rsidRDefault="003D013C" w:rsidP="003D013C">
      <w:pPr>
        <w:ind w:left="360" w:hanging="360"/>
        <w:rPr>
          <w:b/>
          <w:szCs w:val="24"/>
          <w:lang w:eastAsia="lt-LT"/>
        </w:rPr>
      </w:pPr>
      <w:r w:rsidRPr="0090281B">
        <w:rPr>
          <w:b/>
          <w:szCs w:val="24"/>
          <w:lang w:eastAsia="lt-LT"/>
        </w:rPr>
        <w:t>6.</w:t>
      </w:r>
      <w:r w:rsidRPr="0090281B">
        <w:rPr>
          <w:b/>
          <w:szCs w:val="24"/>
          <w:lang w:eastAsia="lt-LT"/>
        </w:rPr>
        <w:tab/>
        <w:t>Pasiektų rezultatų vykdant užduotis įsivertinimas</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3"/>
        <w:gridCol w:w="2268"/>
      </w:tblGrid>
      <w:tr w:rsidR="003D013C" w:rsidRPr="0090281B" w:rsidTr="006605C4">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rsidR="003D013C" w:rsidRPr="0090281B" w:rsidRDefault="003D013C" w:rsidP="00A83465">
            <w:pPr>
              <w:jc w:val="center"/>
              <w:rPr>
                <w:sz w:val="22"/>
                <w:szCs w:val="22"/>
                <w:lang w:eastAsia="lt-LT"/>
              </w:rPr>
            </w:pPr>
            <w:r w:rsidRPr="0090281B">
              <w:rPr>
                <w:sz w:val="22"/>
                <w:szCs w:val="22"/>
                <w:lang w:eastAsia="lt-LT"/>
              </w:rPr>
              <w:t>Užduočių įvykdymo aprašymas</w:t>
            </w:r>
          </w:p>
        </w:tc>
        <w:tc>
          <w:tcPr>
            <w:tcW w:w="2268" w:type="dxa"/>
            <w:tcBorders>
              <w:top w:val="single" w:sz="4" w:space="0" w:color="auto"/>
              <w:left w:val="single" w:sz="4" w:space="0" w:color="auto"/>
              <w:bottom w:val="single" w:sz="4" w:space="0" w:color="auto"/>
              <w:right w:val="single" w:sz="4" w:space="0" w:color="auto"/>
            </w:tcBorders>
            <w:vAlign w:val="center"/>
            <w:hideMark/>
          </w:tcPr>
          <w:p w:rsidR="003D013C" w:rsidRPr="0090281B" w:rsidRDefault="003D013C" w:rsidP="00A83465">
            <w:pPr>
              <w:jc w:val="center"/>
              <w:rPr>
                <w:sz w:val="22"/>
                <w:szCs w:val="22"/>
                <w:lang w:eastAsia="lt-LT"/>
              </w:rPr>
            </w:pPr>
            <w:r w:rsidRPr="0090281B">
              <w:rPr>
                <w:sz w:val="22"/>
                <w:szCs w:val="22"/>
                <w:lang w:eastAsia="lt-LT"/>
              </w:rPr>
              <w:t>Pažymimas atitinkamas langelis</w:t>
            </w:r>
          </w:p>
        </w:tc>
      </w:tr>
      <w:tr w:rsidR="003D013C" w:rsidRPr="0090281B" w:rsidTr="006605C4">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rsidR="003D013C" w:rsidRPr="0090281B" w:rsidRDefault="003D013C" w:rsidP="00A83465">
            <w:pPr>
              <w:rPr>
                <w:sz w:val="22"/>
                <w:szCs w:val="22"/>
                <w:lang w:eastAsia="lt-LT"/>
              </w:rPr>
            </w:pPr>
            <w:r w:rsidRPr="0090281B">
              <w:rPr>
                <w:sz w:val="22"/>
                <w:szCs w:val="22"/>
                <w:lang w:eastAsia="lt-LT"/>
              </w:rPr>
              <w:t>6.1. Visos užduotys įvykdytos ir viršijo kai kuriuos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3D013C" w:rsidRPr="0090281B" w:rsidRDefault="003D013C" w:rsidP="006F1333">
            <w:pPr>
              <w:ind w:right="340"/>
              <w:jc w:val="right"/>
              <w:rPr>
                <w:sz w:val="22"/>
                <w:szCs w:val="22"/>
                <w:lang w:eastAsia="lt-LT"/>
              </w:rPr>
            </w:pPr>
            <w:r w:rsidRPr="0090281B">
              <w:rPr>
                <w:sz w:val="22"/>
                <w:szCs w:val="22"/>
                <w:lang w:eastAsia="lt-LT"/>
              </w:rPr>
              <w:t xml:space="preserve">Labai gerai </w:t>
            </w:r>
            <w:r w:rsidR="00ED4735" w:rsidRPr="0090281B">
              <w:rPr>
                <w:rFonts w:ascii="Segoe UI Symbol" w:eastAsia="MS Gothic" w:hAnsi="Segoe UI Symbol" w:cs="Segoe UI Symbol"/>
                <w:sz w:val="22"/>
                <w:szCs w:val="22"/>
                <w:lang w:eastAsia="lt-LT"/>
              </w:rPr>
              <w:t>☐</w:t>
            </w:r>
          </w:p>
        </w:tc>
      </w:tr>
      <w:tr w:rsidR="003D013C" w:rsidRPr="0090281B" w:rsidTr="006605C4">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rsidR="003D013C" w:rsidRPr="0090281B" w:rsidRDefault="003D013C" w:rsidP="00A83465">
            <w:pPr>
              <w:rPr>
                <w:sz w:val="22"/>
                <w:szCs w:val="22"/>
                <w:lang w:eastAsia="lt-LT"/>
              </w:rPr>
            </w:pPr>
            <w:r w:rsidRPr="0090281B">
              <w:rPr>
                <w:sz w:val="22"/>
                <w:szCs w:val="22"/>
                <w:lang w:eastAsia="lt-LT"/>
              </w:rPr>
              <w:t>6.2. Užduotys iš esmės įvykdytos arba viena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3D013C" w:rsidRPr="0090281B" w:rsidRDefault="003D013C" w:rsidP="00A83465">
            <w:pPr>
              <w:ind w:right="340"/>
              <w:jc w:val="right"/>
              <w:rPr>
                <w:sz w:val="22"/>
                <w:szCs w:val="22"/>
                <w:lang w:eastAsia="lt-LT"/>
              </w:rPr>
            </w:pPr>
            <w:r w:rsidRPr="0090281B">
              <w:rPr>
                <w:sz w:val="22"/>
                <w:szCs w:val="22"/>
                <w:lang w:eastAsia="lt-LT"/>
              </w:rPr>
              <w:t xml:space="preserve">Gerai </w:t>
            </w:r>
            <w:r w:rsidRPr="0090281B">
              <w:rPr>
                <w:rFonts w:ascii="Segoe UI Symbol" w:eastAsia="MS Gothic" w:hAnsi="Segoe UI Symbol" w:cs="Segoe UI Symbol"/>
                <w:sz w:val="22"/>
                <w:szCs w:val="22"/>
                <w:lang w:eastAsia="lt-LT"/>
              </w:rPr>
              <w:t>☐</w:t>
            </w:r>
          </w:p>
        </w:tc>
      </w:tr>
      <w:tr w:rsidR="003D013C" w:rsidRPr="0090281B" w:rsidTr="006605C4">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rsidR="003D013C" w:rsidRPr="0090281B" w:rsidRDefault="003D013C" w:rsidP="00A83465">
            <w:pPr>
              <w:rPr>
                <w:sz w:val="22"/>
                <w:szCs w:val="22"/>
                <w:lang w:eastAsia="lt-LT"/>
              </w:rPr>
            </w:pPr>
            <w:r w:rsidRPr="0090281B">
              <w:rPr>
                <w:sz w:val="22"/>
                <w:szCs w:val="22"/>
                <w:lang w:eastAsia="lt-LT"/>
              </w:rPr>
              <w:t>6.3. Įvykdyta ne mažiau kaip pusė užduočių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3D013C" w:rsidRPr="0090281B" w:rsidRDefault="003D013C" w:rsidP="00A83465">
            <w:pPr>
              <w:ind w:right="340"/>
              <w:jc w:val="right"/>
              <w:rPr>
                <w:sz w:val="22"/>
                <w:szCs w:val="22"/>
                <w:lang w:eastAsia="lt-LT"/>
              </w:rPr>
            </w:pPr>
            <w:r w:rsidRPr="0090281B">
              <w:rPr>
                <w:sz w:val="22"/>
                <w:szCs w:val="22"/>
                <w:lang w:eastAsia="lt-LT"/>
              </w:rPr>
              <w:t xml:space="preserve">Patenkinamai </w:t>
            </w:r>
            <w:r w:rsidRPr="0090281B">
              <w:rPr>
                <w:rFonts w:ascii="Segoe UI Symbol" w:eastAsia="MS Gothic" w:hAnsi="Segoe UI Symbol" w:cs="Segoe UI Symbol"/>
                <w:sz w:val="22"/>
                <w:szCs w:val="22"/>
                <w:lang w:eastAsia="lt-LT"/>
              </w:rPr>
              <w:t>☐</w:t>
            </w:r>
          </w:p>
        </w:tc>
      </w:tr>
      <w:tr w:rsidR="003D013C" w:rsidRPr="0090281B" w:rsidTr="006605C4">
        <w:trPr>
          <w:trHeight w:val="23"/>
        </w:trPr>
        <w:tc>
          <w:tcPr>
            <w:tcW w:w="7343" w:type="dxa"/>
            <w:tcBorders>
              <w:top w:val="single" w:sz="4" w:space="0" w:color="auto"/>
              <w:left w:val="single" w:sz="4" w:space="0" w:color="auto"/>
              <w:bottom w:val="single" w:sz="4" w:space="0" w:color="auto"/>
              <w:right w:val="single" w:sz="4" w:space="0" w:color="auto"/>
            </w:tcBorders>
            <w:vAlign w:val="center"/>
            <w:hideMark/>
          </w:tcPr>
          <w:p w:rsidR="003D013C" w:rsidRPr="0090281B" w:rsidRDefault="003D013C" w:rsidP="00A83465">
            <w:pPr>
              <w:rPr>
                <w:sz w:val="22"/>
                <w:szCs w:val="22"/>
                <w:lang w:eastAsia="lt-LT"/>
              </w:rPr>
            </w:pPr>
            <w:r w:rsidRPr="0090281B">
              <w:rPr>
                <w:sz w:val="22"/>
                <w:szCs w:val="22"/>
                <w:lang w:eastAsia="lt-LT"/>
              </w:rPr>
              <w:t>6.4. Pusė ar daugiau užduotys neįvykdyta pagal sutartus vertinimo rodiklius</w:t>
            </w:r>
          </w:p>
        </w:tc>
        <w:tc>
          <w:tcPr>
            <w:tcW w:w="2268" w:type="dxa"/>
            <w:tcBorders>
              <w:top w:val="single" w:sz="4" w:space="0" w:color="auto"/>
              <w:left w:val="single" w:sz="4" w:space="0" w:color="auto"/>
              <w:bottom w:val="single" w:sz="4" w:space="0" w:color="auto"/>
              <w:right w:val="single" w:sz="4" w:space="0" w:color="auto"/>
            </w:tcBorders>
            <w:vAlign w:val="center"/>
            <w:hideMark/>
          </w:tcPr>
          <w:p w:rsidR="003D013C" w:rsidRPr="0090281B" w:rsidRDefault="003D013C" w:rsidP="00A83465">
            <w:pPr>
              <w:ind w:right="340"/>
              <w:jc w:val="right"/>
              <w:rPr>
                <w:sz w:val="22"/>
                <w:szCs w:val="22"/>
                <w:lang w:eastAsia="lt-LT"/>
              </w:rPr>
            </w:pPr>
            <w:r w:rsidRPr="0090281B">
              <w:rPr>
                <w:sz w:val="22"/>
                <w:szCs w:val="22"/>
                <w:lang w:eastAsia="lt-LT"/>
              </w:rPr>
              <w:t xml:space="preserve">Nepatenkinamai </w:t>
            </w:r>
            <w:r w:rsidRPr="0090281B">
              <w:rPr>
                <w:rFonts w:ascii="Segoe UI Symbol" w:eastAsia="MS Gothic" w:hAnsi="Segoe UI Symbol" w:cs="Segoe UI Symbol"/>
                <w:sz w:val="22"/>
                <w:szCs w:val="22"/>
                <w:lang w:eastAsia="lt-LT"/>
              </w:rPr>
              <w:t>☐</w:t>
            </w:r>
          </w:p>
        </w:tc>
      </w:tr>
    </w:tbl>
    <w:p w:rsidR="0090281B" w:rsidRPr="0090281B" w:rsidRDefault="0090281B" w:rsidP="003D013C">
      <w:pPr>
        <w:tabs>
          <w:tab w:val="left" w:pos="284"/>
          <w:tab w:val="left" w:pos="426"/>
        </w:tabs>
        <w:jc w:val="both"/>
        <w:rPr>
          <w:b/>
          <w:szCs w:val="24"/>
          <w:lang w:eastAsia="lt-LT"/>
        </w:rPr>
      </w:pPr>
    </w:p>
    <w:p w:rsidR="003D013C" w:rsidRPr="0090281B" w:rsidRDefault="003D013C" w:rsidP="003D013C">
      <w:pPr>
        <w:tabs>
          <w:tab w:val="left" w:pos="284"/>
          <w:tab w:val="left" w:pos="426"/>
        </w:tabs>
        <w:jc w:val="both"/>
        <w:rPr>
          <w:b/>
          <w:szCs w:val="24"/>
          <w:lang w:eastAsia="lt-LT"/>
        </w:rPr>
      </w:pPr>
      <w:r w:rsidRPr="0090281B">
        <w:rPr>
          <w:b/>
          <w:szCs w:val="24"/>
          <w:lang w:eastAsia="lt-LT"/>
        </w:rPr>
        <w:t>7.</w:t>
      </w:r>
      <w:r w:rsidRPr="0090281B">
        <w:rPr>
          <w:b/>
          <w:szCs w:val="24"/>
          <w:lang w:eastAsia="lt-LT"/>
        </w:rPr>
        <w:tab/>
        <w:t>Kompetencijos, kurias norėtų tobulinti</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8"/>
      </w:tblGrid>
      <w:tr w:rsidR="003D013C" w:rsidRPr="0090281B" w:rsidTr="006605C4">
        <w:tc>
          <w:tcPr>
            <w:tcW w:w="9498" w:type="dxa"/>
            <w:tcBorders>
              <w:top w:val="single" w:sz="4" w:space="0" w:color="auto"/>
              <w:left w:val="single" w:sz="4" w:space="0" w:color="auto"/>
              <w:bottom w:val="single" w:sz="4" w:space="0" w:color="auto"/>
              <w:right w:val="single" w:sz="4" w:space="0" w:color="auto"/>
            </w:tcBorders>
            <w:hideMark/>
          </w:tcPr>
          <w:p w:rsidR="003D013C" w:rsidRPr="0090281B" w:rsidRDefault="003D013C" w:rsidP="00ED4735">
            <w:pPr>
              <w:jc w:val="both"/>
              <w:rPr>
                <w:szCs w:val="24"/>
                <w:lang w:eastAsia="lt-LT"/>
              </w:rPr>
            </w:pPr>
            <w:r w:rsidRPr="0090281B">
              <w:rPr>
                <w:szCs w:val="24"/>
                <w:lang w:eastAsia="lt-LT"/>
              </w:rPr>
              <w:t xml:space="preserve">7.1. </w:t>
            </w:r>
            <w:r w:rsidR="00EF13FC" w:rsidRPr="0090281B">
              <w:rPr>
                <w:color w:val="000000" w:themeColor="text1"/>
                <w:szCs w:val="24"/>
                <w:lang w:eastAsia="lt-LT"/>
              </w:rPr>
              <w:t>Žmogiškųjų išteklių valdymo kompetencija.</w:t>
            </w:r>
          </w:p>
        </w:tc>
      </w:tr>
      <w:tr w:rsidR="003D013C" w:rsidRPr="0090281B" w:rsidTr="006605C4">
        <w:tc>
          <w:tcPr>
            <w:tcW w:w="9498" w:type="dxa"/>
            <w:tcBorders>
              <w:top w:val="single" w:sz="4" w:space="0" w:color="auto"/>
              <w:left w:val="single" w:sz="4" w:space="0" w:color="auto"/>
              <w:bottom w:val="single" w:sz="4" w:space="0" w:color="auto"/>
              <w:right w:val="single" w:sz="4" w:space="0" w:color="auto"/>
            </w:tcBorders>
            <w:hideMark/>
          </w:tcPr>
          <w:p w:rsidR="003D013C" w:rsidRPr="0090281B" w:rsidRDefault="003D013C" w:rsidP="00ED4735">
            <w:pPr>
              <w:jc w:val="both"/>
              <w:rPr>
                <w:szCs w:val="24"/>
                <w:lang w:eastAsia="lt-LT"/>
              </w:rPr>
            </w:pPr>
            <w:r w:rsidRPr="0090281B">
              <w:rPr>
                <w:szCs w:val="24"/>
                <w:lang w:eastAsia="lt-LT"/>
              </w:rPr>
              <w:t xml:space="preserve">7.2. </w:t>
            </w:r>
          </w:p>
        </w:tc>
      </w:tr>
    </w:tbl>
    <w:p w:rsidR="00CE059A" w:rsidRDefault="00CE059A" w:rsidP="003D013C">
      <w:pPr>
        <w:jc w:val="center"/>
        <w:rPr>
          <w:b/>
          <w:szCs w:val="24"/>
          <w:lang w:eastAsia="lt-LT"/>
        </w:rPr>
      </w:pPr>
    </w:p>
    <w:p w:rsidR="002430D2" w:rsidRDefault="002430D2" w:rsidP="003D013C">
      <w:pPr>
        <w:jc w:val="center"/>
        <w:rPr>
          <w:b/>
          <w:szCs w:val="24"/>
          <w:lang w:eastAsia="lt-LT"/>
        </w:rPr>
      </w:pPr>
    </w:p>
    <w:p w:rsidR="002430D2" w:rsidRDefault="002430D2" w:rsidP="003D013C">
      <w:pPr>
        <w:jc w:val="center"/>
        <w:rPr>
          <w:b/>
          <w:szCs w:val="24"/>
          <w:lang w:eastAsia="lt-LT"/>
        </w:rPr>
      </w:pPr>
    </w:p>
    <w:p w:rsidR="002430D2" w:rsidRDefault="002430D2" w:rsidP="003D013C">
      <w:pPr>
        <w:jc w:val="center"/>
        <w:rPr>
          <w:b/>
          <w:szCs w:val="24"/>
          <w:lang w:eastAsia="lt-LT"/>
        </w:rPr>
      </w:pPr>
    </w:p>
    <w:p w:rsidR="002430D2" w:rsidRDefault="002430D2" w:rsidP="003D013C">
      <w:pPr>
        <w:jc w:val="center"/>
        <w:rPr>
          <w:b/>
          <w:szCs w:val="24"/>
          <w:lang w:eastAsia="lt-LT"/>
        </w:rPr>
      </w:pPr>
    </w:p>
    <w:p w:rsidR="002430D2" w:rsidRDefault="002430D2" w:rsidP="003D013C">
      <w:pPr>
        <w:jc w:val="center"/>
        <w:rPr>
          <w:b/>
          <w:szCs w:val="24"/>
          <w:lang w:eastAsia="lt-LT"/>
        </w:rPr>
      </w:pPr>
    </w:p>
    <w:p w:rsidR="002430D2" w:rsidRDefault="002430D2" w:rsidP="003D013C">
      <w:pPr>
        <w:jc w:val="center"/>
        <w:rPr>
          <w:b/>
          <w:szCs w:val="24"/>
          <w:lang w:eastAsia="lt-LT"/>
        </w:rPr>
      </w:pPr>
    </w:p>
    <w:p w:rsidR="002430D2" w:rsidRDefault="002430D2" w:rsidP="003D013C">
      <w:pPr>
        <w:jc w:val="center"/>
        <w:rPr>
          <w:b/>
          <w:szCs w:val="24"/>
          <w:lang w:eastAsia="lt-LT"/>
        </w:rPr>
      </w:pPr>
    </w:p>
    <w:p w:rsidR="002430D2" w:rsidRDefault="002430D2" w:rsidP="003D013C">
      <w:pPr>
        <w:jc w:val="center"/>
        <w:rPr>
          <w:b/>
          <w:szCs w:val="24"/>
          <w:lang w:eastAsia="lt-LT"/>
        </w:rPr>
      </w:pPr>
    </w:p>
    <w:p w:rsidR="003D013C" w:rsidRPr="0090281B" w:rsidRDefault="003D013C" w:rsidP="003D013C">
      <w:pPr>
        <w:jc w:val="center"/>
        <w:rPr>
          <w:b/>
          <w:szCs w:val="24"/>
          <w:lang w:eastAsia="lt-LT"/>
        </w:rPr>
      </w:pPr>
      <w:r w:rsidRPr="0090281B">
        <w:rPr>
          <w:b/>
          <w:szCs w:val="24"/>
          <w:lang w:eastAsia="lt-LT"/>
        </w:rPr>
        <w:lastRenderedPageBreak/>
        <w:t>V SKYRIUS</w:t>
      </w:r>
    </w:p>
    <w:p w:rsidR="003D013C" w:rsidRPr="0090281B" w:rsidRDefault="003D013C" w:rsidP="003D013C">
      <w:pPr>
        <w:jc w:val="center"/>
        <w:rPr>
          <w:b/>
          <w:szCs w:val="24"/>
          <w:lang w:eastAsia="lt-LT"/>
        </w:rPr>
      </w:pPr>
      <w:r w:rsidRPr="0090281B">
        <w:rPr>
          <w:b/>
          <w:szCs w:val="24"/>
          <w:lang w:eastAsia="lt-LT"/>
        </w:rPr>
        <w:t>KITŲ METŲ VEIKLOS UŽDUOTYS, REZULTATAI IR RODIKLIAI</w:t>
      </w:r>
    </w:p>
    <w:p w:rsidR="003D013C" w:rsidRPr="0090281B" w:rsidRDefault="003D013C" w:rsidP="003D013C">
      <w:pPr>
        <w:tabs>
          <w:tab w:val="left" w:pos="6237"/>
          <w:tab w:val="right" w:pos="8306"/>
        </w:tabs>
        <w:jc w:val="center"/>
        <w:rPr>
          <w:color w:val="000000"/>
          <w:sz w:val="22"/>
          <w:szCs w:val="22"/>
        </w:rPr>
      </w:pPr>
    </w:p>
    <w:p w:rsidR="003D013C" w:rsidRPr="0090281B" w:rsidRDefault="003D013C" w:rsidP="003D013C">
      <w:pPr>
        <w:tabs>
          <w:tab w:val="left" w:pos="284"/>
          <w:tab w:val="left" w:pos="567"/>
        </w:tabs>
        <w:rPr>
          <w:b/>
          <w:szCs w:val="24"/>
          <w:lang w:eastAsia="lt-LT"/>
        </w:rPr>
      </w:pPr>
      <w:r w:rsidRPr="0090281B">
        <w:rPr>
          <w:b/>
          <w:szCs w:val="24"/>
          <w:lang w:eastAsia="lt-LT"/>
        </w:rPr>
        <w:t>8.</w:t>
      </w:r>
      <w:r w:rsidRPr="0090281B">
        <w:rPr>
          <w:b/>
          <w:szCs w:val="24"/>
          <w:lang w:eastAsia="lt-LT"/>
        </w:rPr>
        <w:tab/>
        <w:t>Kitų metų užduotys</w:t>
      </w:r>
    </w:p>
    <w:p w:rsidR="003D013C" w:rsidRPr="0090281B" w:rsidRDefault="003D013C" w:rsidP="003D013C">
      <w:pPr>
        <w:rPr>
          <w:sz w:val="20"/>
          <w:lang w:eastAsia="lt-LT"/>
        </w:rPr>
      </w:pPr>
      <w:r w:rsidRPr="0090281B">
        <w:rPr>
          <w:sz w:val="20"/>
          <w:lang w:eastAsia="lt-LT"/>
        </w:rPr>
        <w:t>(nustatomos ne mažiau kaip 3 ir ne daugiau kaip 5 užduotys)</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90"/>
        <w:gridCol w:w="2719"/>
        <w:gridCol w:w="3289"/>
      </w:tblGrid>
      <w:tr w:rsidR="003D013C" w:rsidRPr="0090281B" w:rsidTr="006605C4">
        <w:tc>
          <w:tcPr>
            <w:tcW w:w="3490" w:type="dxa"/>
            <w:tcBorders>
              <w:top w:val="single" w:sz="4" w:space="0" w:color="auto"/>
              <w:left w:val="single" w:sz="4" w:space="0" w:color="auto"/>
              <w:bottom w:val="single" w:sz="4" w:space="0" w:color="auto"/>
              <w:right w:val="single" w:sz="4" w:space="0" w:color="auto"/>
            </w:tcBorders>
            <w:vAlign w:val="center"/>
            <w:hideMark/>
          </w:tcPr>
          <w:p w:rsidR="003D013C" w:rsidRPr="0090281B" w:rsidRDefault="003D013C" w:rsidP="00A83465">
            <w:pPr>
              <w:jc w:val="center"/>
              <w:rPr>
                <w:szCs w:val="24"/>
                <w:lang w:eastAsia="lt-LT"/>
              </w:rPr>
            </w:pPr>
            <w:r w:rsidRPr="0090281B">
              <w:rPr>
                <w:szCs w:val="24"/>
                <w:lang w:eastAsia="lt-LT"/>
              </w:rPr>
              <w:t>Užduotys</w:t>
            </w:r>
          </w:p>
        </w:tc>
        <w:tc>
          <w:tcPr>
            <w:tcW w:w="2719" w:type="dxa"/>
            <w:tcBorders>
              <w:top w:val="single" w:sz="4" w:space="0" w:color="auto"/>
              <w:left w:val="single" w:sz="4" w:space="0" w:color="auto"/>
              <w:bottom w:val="single" w:sz="4" w:space="0" w:color="auto"/>
              <w:right w:val="single" w:sz="4" w:space="0" w:color="auto"/>
            </w:tcBorders>
            <w:vAlign w:val="center"/>
            <w:hideMark/>
          </w:tcPr>
          <w:p w:rsidR="003D013C" w:rsidRPr="0090281B" w:rsidRDefault="003D013C" w:rsidP="00A83465">
            <w:pPr>
              <w:jc w:val="center"/>
              <w:rPr>
                <w:szCs w:val="24"/>
                <w:lang w:eastAsia="lt-LT"/>
              </w:rPr>
            </w:pPr>
            <w:r w:rsidRPr="0090281B">
              <w:rPr>
                <w:szCs w:val="24"/>
                <w:lang w:eastAsia="lt-LT"/>
              </w:rPr>
              <w:t>Siektini rezultatai</w:t>
            </w:r>
          </w:p>
        </w:tc>
        <w:tc>
          <w:tcPr>
            <w:tcW w:w="3289" w:type="dxa"/>
            <w:tcBorders>
              <w:top w:val="single" w:sz="4" w:space="0" w:color="auto"/>
              <w:left w:val="single" w:sz="4" w:space="0" w:color="auto"/>
              <w:bottom w:val="single" w:sz="4" w:space="0" w:color="auto"/>
              <w:right w:val="single" w:sz="4" w:space="0" w:color="auto"/>
            </w:tcBorders>
            <w:vAlign w:val="center"/>
            <w:hideMark/>
          </w:tcPr>
          <w:p w:rsidR="003D013C" w:rsidRPr="0090281B" w:rsidRDefault="003D013C" w:rsidP="00A83465">
            <w:pPr>
              <w:jc w:val="center"/>
              <w:rPr>
                <w:szCs w:val="24"/>
                <w:lang w:eastAsia="lt-LT"/>
              </w:rPr>
            </w:pPr>
            <w:r w:rsidRPr="0090281B">
              <w:rPr>
                <w:szCs w:val="24"/>
                <w:lang w:eastAsia="lt-LT"/>
              </w:rPr>
              <w:t>Rezultatų vertinimo rodikliai (kuriais vadovaujantis vertinama, ar nustatytos užduotys įvykdytos)</w:t>
            </w:r>
          </w:p>
        </w:tc>
      </w:tr>
      <w:tr w:rsidR="003D013C" w:rsidRPr="0090281B" w:rsidTr="006605C4">
        <w:tc>
          <w:tcPr>
            <w:tcW w:w="3490" w:type="dxa"/>
            <w:tcBorders>
              <w:top w:val="single" w:sz="4" w:space="0" w:color="auto"/>
              <w:left w:val="single" w:sz="4" w:space="0" w:color="auto"/>
              <w:bottom w:val="single" w:sz="4" w:space="0" w:color="auto"/>
              <w:right w:val="single" w:sz="4" w:space="0" w:color="auto"/>
            </w:tcBorders>
            <w:hideMark/>
          </w:tcPr>
          <w:p w:rsidR="003D013C" w:rsidRPr="0090281B" w:rsidRDefault="003D013C" w:rsidP="00A83465">
            <w:pPr>
              <w:rPr>
                <w:szCs w:val="24"/>
                <w:lang w:eastAsia="lt-LT"/>
              </w:rPr>
            </w:pPr>
            <w:r w:rsidRPr="0090281B">
              <w:rPr>
                <w:szCs w:val="24"/>
                <w:lang w:eastAsia="lt-LT"/>
              </w:rPr>
              <w:t>8.1.</w:t>
            </w:r>
            <w:r w:rsidR="00C62DB1">
              <w:rPr>
                <w:szCs w:val="24"/>
                <w:lang w:eastAsia="lt-LT"/>
              </w:rPr>
              <w:t xml:space="preserve"> </w:t>
            </w:r>
            <w:r w:rsidR="008E3A60">
              <w:rPr>
                <w:szCs w:val="24"/>
                <w:lang w:eastAsia="lt-LT"/>
              </w:rPr>
              <w:t>Stiprinti Pedagoginės psichologinės tarnybos specialistų ir mokyklų vaiko gerovės komisijų bendradarbiavimą dėl vaiko pažangos.</w:t>
            </w:r>
          </w:p>
        </w:tc>
        <w:tc>
          <w:tcPr>
            <w:tcW w:w="2719" w:type="dxa"/>
            <w:tcBorders>
              <w:top w:val="single" w:sz="4" w:space="0" w:color="auto"/>
              <w:left w:val="single" w:sz="4" w:space="0" w:color="auto"/>
              <w:bottom w:val="single" w:sz="4" w:space="0" w:color="auto"/>
              <w:right w:val="single" w:sz="4" w:space="0" w:color="auto"/>
            </w:tcBorders>
          </w:tcPr>
          <w:p w:rsidR="003D013C" w:rsidRPr="0090281B" w:rsidRDefault="00C62DB1" w:rsidP="00C62DB1">
            <w:pPr>
              <w:rPr>
                <w:szCs w:val="24"/>
                <w:lang w:eastAsia="lt-LT"/>
              </w:rPr>
            </w:pPr>
            <w:r>
              <w:rPr>
                <w:szCs w:val="24"/>
                <w:lang w:eastAsia="lt-LT"/>
              </w:rPr>
              <w:t xml:space="preserve">8.1.1. </w:t>
            </w:r>
            <w:r w:rsidR="008E3A60">
              <w:rPr>
                <w:szCs w:val="24"/>
                <w:lang w:eastAsia="lt-LT"/>
              </w:rPr>
              <w:t xml:space="preserve">Tikslingas, efektyvus Pedagoginės psichologinės tarnybos specialistų ir mokyklų vaiko gerovės komisijų bendradarbiavimas padės siekti specialiųjų ugdymosi poreikių turinčių vaikų pažangos. </w:t>
            </w:r>
          </w:p>
        </w:tc>
        <w:tc>
          <w:tcPr>
            <w:tcW w:w="3289" w:type="dxa"/>
            <w:tcBorders>
              <w:top w:val="single" w:sz="4" w:space="0" w:color="auto"/>
              <w:left w:val="single" w:sz="4" w:space="0" w:color="auto"/>
              <w:bottom w:val="single" w:sz="4" w:space="0" w:color="auto"/>
              <w:right w:val="single" w:sz="4" w:space="0" w:color="auto"/>
            </w:tcBorders>
          </w:tcPr>
          <w:p w:rsidR="003D013C" w:rsidRPr="0090281B" w:rsidRDefault="00C62DB1" w:rsidP="008E3A60">
            <w:pPr>
              <w:rPr>
                <w:szCs w:val="24"/>
                <w:lang w:eastAsia="lt-LT"/>
              </w:rPr>
            </w:pPr>
            <w:r>
              <w:rPr>
                <w:szCs w:val="24"/>
                <w:lang w:eastAsia="lt-LT"/>
              </w:rPr>
              <w:t>8.1.1.1.</w:t>
            </w:r>
            <w:r w:rsidR="008E3A60">
              <w:rPr>
                <w:szCs w:val="24"/>
                <w:lang w:eastAsia="lt-LT"/>
              </w:rPr>
              <w:t xml:space="preserve"> Suorganizuoti Pedagoginės psichologinės tarnybos specialistų ir mokyklų vaiko gerovės komisijų atstovų susitikimai – 2 renginiai. </w:t>
            </w:r>
          </w:p>
        </w:tc>
      </w:tr>
      <w:tr w:rsidR="003D013C" w:rsidRPr="0090281B" w:rsidTr="006605C4">
        <w:tc>
          <w:tcPr>
            <w:tcW w:w="3490" w:type="dxa"/>
            <w:tcBorders>
              <w:top w:val="single" w:sz="4" w:space="0" w:color="auto"/>
              <w:left w:val="single" w:sz="4" w:space="0" w:color="auto"/>
              <w:bottom w:val="single" w:sz="4" w:space="0" w:color="auto"/>
              <w:right w:val="single" w:sz="4" w:space="0" w:color="auto"/>
            </w:tcBorders>
            <w:hideMark/>
          </w:tcPr>
          <w:p w:rsidR="003D013C" w:rsidRPr="0090281B" w:rsidRDefault="003D013C" w:rsidP="008E3A60">
            <w:pPr>
              <w:rPr>
                <w:szCs w:val="24"/>
                <w:lang w:eastAsia="lt-LT"/>
              </w:rPr>
            </w:pPr>
            <w:r w:rsidRPr="0090281B">
              <w:rPr>
                <w:szCs w:val="24"/>
                <w:lang w:eastAsia="lt-LT"/>
              </w:rPr>
              <w:t>8.2.</w:t>
            </w:r>
            <w:r w:rsidR="008E3A60">
              <w:rPr>
                <w:szCs w:val="24"/>
                <w:lang w:eastAsia="lt-LT"/>
              </w:rPr>
              <w:t xml:space="preserve"> Padėti Širvintų rajono švietimo įstaigoms užtikrinti specialiųjų ugdymosi poreikių turinčių mokinių ugdymą. </w:t>
            </w:r>
          </w:p>
        </w:tc>
        <w:tc>
          <w:tcPr>
            <w:tcW w:w="2719" w:type="dxa"/>
            <w:tcBorders>
              <w:top w:val="single" w:sz="4" w:space="0" w:color="auto"/>
              <w:left w:val="single" w:sz="4" w:space="0" w:color="auto"/>
              <w:bottom w:val="single" w:sz="4" w:space="0" w:color="auto"/>
              <w:right w:val="single" w:sz="4" w:space="0" w:color="auto"/>
            </w:tcBorders>
          </w:tcPr>
          <w:p w:rsidR="003D013C" w:rsidRPr="0090281B" w:rsidRDefault="00C62DB1" w:rsidP="00C62DB1">
            <w:pPr>
              <w:rPr>
                <w:szCs w:val="24"/>
                <w:lang w:eastAsia="lt-LT"/>
              </w:rPr>
            </w:pPr>
            <w:r>
              <w:rPr>
                <w:szCs w:val="24"/>
                <w:lang w:eastAsia="lt-LT"/>
              </w:rPr>
              <w:t>8.2.1.</w:t>
            </w:r>
            <w:r w:rsidR="008E3A60">
              <w:rPr>
                <w:szCs w:val="24"/>
                <w:lang w:eastAsia="lt-LT"/>
              </w:rPr>
              <w:t xml:space="preserve"> Metodinės pagalbos mokytojams, švietimo pagalbos specialistams teikimas. </w:t>
            </w:r>
          </w:p>
        </w:tc>
        <w:tc>
          <w:tcPr>
            <w:tcW w:w="3289" w:type="dxa"/>
            <w:tcBorders>
              <w:top w:val="single" w:sz="4" w:space="0" w:color="auto"/>
              <w:left w:val="single" w:sz="4" w:space="0" w:color="auto"/>
              <w:bottom w:val="single" w:sz="4" w:space="0" w:color="auto"/>
              <w:right w:val="single" w:sz="4" w:space="0" w:color="auto"/>
            </w:tcBorders>
          </w:tcPr>
          <w:p w:rsidR="003D013C" w:rsidRDefault="00C62DB1" w:rsidP="00C62DB1">
            <w:pPr>
              <w:rPr>
                <w:szCs w:val="24"/>
                <w:lang w:eastAsia="lt-LT"/>
              </w:rPr>
            </w:pPr>
            <w:r>
              <w:rPr>
                <w:szCs w:val="24"/>
                <w:lang w:eastAsia="lt-LT"/>
              </w:rPr>
              <w:t>8.2.1.1.</w:t>
            </w:r>
            <w:r w:rsidR="008E3A60">
              <w:rPr>
                <w:szCs w:val="24"/>
                <w:lang w:eastAsia="lt-LT"/>
              </w:rPr>
              <w:t xml:space="preserve"> Suteiktos konsultacijos mokytojams, švietimo pagalbos specialistams – </w:t>
            </w:r>
            <w:r w:rsidR="00EF13FC">
              <w:rPr>
                <w:szCs w:val="24"/>
                <w:lang w:eastAsia="lt-LT"/>
              </w:rPr>
              <w:t xml:space="preserve">100. </w:t>
            </w:r>
          </w:p>
          <w:p w:rsidR="008E3A60" w:rsidRPr="0090281B" w:rsidRDefault="008E3A60" w:rsidP="00C62DB1">
            <w:pPr>
              <w:rPr>
                <w:szCs w:val="24"/>
                <w:lang w:eastAsia="lt-LT"/>
              </w:rPr>
            </w:pPr>
          </w:p>
        </w:tc>
      </w:tr>
      <w:tr w:rsidR="003D013C" w:rsidRPr="0090281B" w:rsidTr="006605C4">
        <w:tc>
          <w:tcPr>
            <w:tcW w:w="3490" w:type="dxa"/>
            <w:tcBorders>
              <w:top w:val="single" w:sz="4" w:space="0" w:color="auto"/>
              <w:left w:val="single" w:sz="4" w:space="0" w:color="auto"/>
              <w:bottom w:val="single" w:sz="4" w:space="0" w:color="auto"/>
              <w:right w:val="single" w:sz="4" w:space="0" w:color="auto"/>
            </w:tcBorders>
            <w:hideMark/>
          </w:tcPr>
          <w:p w:rsidR="003D013C" w:rsidRPr="0090281B" w:rsidRDefault="003D013C" w:rsidP="00A83465">
            <w:pPr>
              <w:rPr>
                <w:szCs w:val="24"/>
                <w:lang w:eastAsia="lt-LT"/>
              </w:rPr>
            </w:pPr>
            <w:r w:rsidRPr="0090281B">
              <w:rPr>
                <w:szCs w:val="24"/>
                <w:lang w:eastAsia="lt-LT"/>
              </w:rPr>
              <w:t>8.3.</w:t>
            </w:r>
            <w:r w:rsidR="00C62DB1">
              <w:rPr>
                <w:szCs w:val="24"/>
                <w:lang w:eastAsia="lt-LT"/>
              </w:rPr>
              <w:t xml:space="preserve"> Vykdyti Pedagoginės psichologinės tarnybos vidaus kontrolės politiką. </w:t>
            </w:r>
          </w:p>
        </w:tc>
        <w:tc>
          <w:tcPr>
            <w:tcW w:w="2719" w:type="dxa"/>
            <w:tcBorders>
              <w:top w:val="single" w:sz="4" w:space="0" w:color="auto"/>
              <w:left w:val="single" w:sz="4" w:space="0" w:color="auto"/>
              <w:bottom w:val="single" w:sz="4" w:space="0" w:color="auto"/>
              <w:right w:val="single" w:sz="4" w:space="0" w:color="auto"/>
            </w:tcBorders>
          </w:tcPr>
          <w:p w:rsidR="003D013C" w:rsidRDefault="00C62DB1" w:rsidP="00C62DB1">
            <w:pPr>
              <w:rPr>
                <w:szCs w:val="24"/>
                <w:lang w:eastAsia="lt-LT"/>
              </w:rPr>
            </w:pPr>
            <w:r>
              <w:rPr>
                <w:szCs w:val="24"/>
                <w:lang w:eastAsia="lt-LT"/>
              </w:rPr>
              <w:t xml:space="preserve">8.3.1. Atnaujinti anksčiau parengti vidaus kontrolės dokumentai ir (ar) parengti nauji. </w:t>
            </w:r>
          </w:p>
          <w:p w:rsidR="00C62DB1" w:rsidRPr="0090281B" w:rsidRDefault="00C62DB1" w:rsidP="00C62DB1">
            <w:pPr>
              <w:rPr>
                <w:szCs w:val="24"/>
                <w:lang w:eastAsia="lt-LT"/>
              </w:rPr>
            </w:pPr>
            <w:r>
              <w:rPr>
                <w:szCs w:val="24"/>
                <w:lang w:eastAsia="lt-LT"/>
              </w:rPr>
              <w:t xml:space="preserve">8.3.2. Atlikta vidaus kontrolės rizikos analizė ir vertinimas. </w:t>
            </w:r>
          </w:p>
        </w:tc>
        <w:tc>
          <w:tcPr>
            <w:tcW w:w="3289" w:type="dxa"/>
            <w:tcBorders>
              <w:top w:val="single" w:sz="4" w:space="0" w:color="auto"/>
              <w:left w:val="single" w:sz="4" w:space="0" w:color="auto"/>
              <w:bottom w:val="single" w:sz="4" w:space="0" w:color="auto"/>
              <w:right w:val="single" w:sz="4" w:space="0" w:color="auto"/>
            </w:tcBorders>
          </w:tcPr>
          <w:p w:rsidR="003D013C" w:rsidRDefault="00C62DB1" w:rsidP="00C62DB1">
            <w:pPr>
              <w:rPr>
                <w:szCs w:val="24"/>
                <w:lang w:eastAsia="lt-LT"/>
              </w:rPr>
            </w:pPr>
            <w:r>
              <w:rPr>
                <w:szCs w:val="24"/>
                <w:lang w:eastAsia="lt-LT"/>
              </w:rPr>
              <w:t xml:space="preserve">8.3.1.1. </w:t>
            </w:r>
            <w:r w:rsidR="008E3A60">
              <w:rPr>
                <w:szCs w:val="24"/>
                <w:lang w:eastAsia="lt-LT"/>
              </w:rPr>
              <w:t xml:space="preserve">Patobulinti arba naujai parengti ne mažiau kaip du vidaus kontrolę reglamentuojantys dokumentai. </w:t>
            </w:r>
          </w:p>
          <w:p w:rsidR="008E3A60" w:rsidRPr="0090281B" w:rsidRDefault="008E3A60" w:rsidP="00C62DB1">
            <w:pPr>
              <w:rPr>
                <w:szCs w:val="24"/>
                <w:lang w:eastAsia="lt-LT"/>
              </w:rPr>
            </w:pPr>
            <w:r>
              <w:rPr>
                <w:szCs w:val="24"/>
                <w:lang w:eastAsia="lt-LT"/>
              </w:rPr>
              <w:t xml:space="preserve">8.3.2.1. Parengtos ne mažiau kaip dvi priemonės vidaus kontrolės rizikos analizei ir vertinimui vykdyti. </w:t>
            </w:r>
          </w:p>
        </w:tc>
      </w:tr>
      <w:tr w:rsidR="00EF13FC" w:rsidRPr="0090281B" w:rsidTr="006605C4">
        <w:tc>
          <w:tcPr>
            <w:tcW w:w="3490" w:type="dxa"/>
            <w:tcBorders>
              <w:top w:val="single" w:sz="4" w:space="0" w:color="auto"/>
              <w:left w:val="single" w:sz="4" w:space="0" w:color="auto"/>
              <w:bottom w:val="single" w:sz="4" w:space="0" w:color="auto"/>
              <w:right w:val="single" w:sz="4" w:space="0" w:color="auto"/>
            </w:tcBorders>
          </w:tcPr>
          <w:p w:rsidR="00EF13FC" w:rsidRPr="0090281B" w:rsidRDefault="00EF13FC" w:rsidP="00A83465">
            <w:pPr>
              <w:rPr>
                <w:szCs w:val="24"/>
                <w:lang w:eastAsia="lt-LT"/>
              </w:rPr>
            </w:pPr>
            <w:r>
              <w:rPr>
                <w:szCs w:val="24"/>
                <w:lang w:eastAsia="lt-LT"/>
              </w:rPr>
              <w:t xml:space="preserve">8.4. Tobulinti bendradarbiavimą su socialiniais partneriais siekiant gerinti pedagoginės, psichologinės pagalbos teikimą vaikams. </w:t>
            </w:r>
          </w:p>
        </w:tc>
        <w:tc>
          <w:tcPr>
            <w:tcW w:w="2719" w:type="dxa"/>
            <w:tcBorders>
              <w:top w:val="single" w:sz="4" w:space="0" w:color="auto"/>
              <w:left w:val="single" w:sz="4" w:space="0" w:color="auto"/>
              <w:bottom w:val="single" w:sz="4" w:space="0" w:color="auto"/>
              <w:right w:val="single" w:sz="4" w:space="0" w:color="auto"/>
            </w:tcBorders>
          </w:tcPr>
          <w:p w:rsidR="00EF13FC" w:rsidRDefault="00EF13FC" w:rsidP="00C62DB1">
            <w:pPr>
              <w:rPr>
                <w:szCs w:val="24"/>
                <w:lang w:eastAsia="lt-LT"/>
              </w:rPr>
            </w:pPr>
            <w:r>
              <w:rPr>
                <w:szCs w:val="24"/>
                <w:lang w:eastAsia="lt-LT"/>
              </w:rPr>
              <w:t xml:space="preserve">8.4.1. Efektyvesnis bendradarbiavimas su socialiniais partneriais, kokybiškas pagalbos teikimas vaikams. </w:t>
            </w:r>
          </w:p>
        </w:tc>
        <w:tc>
          <w:tcPr>
            <w:tcW w:w="3289" w:type="dxa"/>
            <w:tcBorders>
              <w:top w:val="single" w:sz="4" w:space="0" w:color="auto"/>
              <w:left w:val="single" w:sz="4" w:space="0" w:color="auto"/>
              <w:bottom w:val="single" w:sz="4" w:space="0" w:color="auto"/>
              <w:right w:val="single" w:sz="4" w:space="0" w:color="auto"/>
            </w:tcBorders>
          </w:tcPr>
          <w:p w:rsidR="00EF13FC" w:rsidRDefault="00EF13FC" w:rsidP="00EF13FC">
            <w:pPr>
              <w:rPr>
                <w:szCs w:val="24"/>
                <w:lang w:eastAsia="lt-LT"/>
              </w:rPr>
            </w:pPr>
            <w:r>
              <w:rPr>
                <w:szCs w:val="24"/>
                <w:lang w:eastAsia="lt-LT"/>
              </w:rPr>
              <w:t>8.4.1.1. Sudarytos 4 bendradarbiavimo sutartys.</w:t>
            </w:r>
          </w:p>
          <w:p w:rsidR="00EF13FC" w:rsidRDefault="00EF13FC" w:rsidP="00EF13FC">
            <w:pPr>
              <w:rPr>
                <w:szCs w:val="24"/>
                <w:lang w:eastAsia="lt-LT"/>
              </w:rPr>
            </w:pPr>
            <w:r>
              <w:rPr>
                <w:szCs w:val="24"/>
                <w:lang w:eastAsia="lt-LT"/>
              </w:rPr>
              <w:t xml:space="preserve">8.4.1.2. Suorganizuotas Pedagoginės psichologinės tarnybos ir socialinių partnerių atstovų susitikimas – diskusija apie pagalbos teikimo galimybes, efektyvumą </w:t>
            </w:r>
          </w:p>
          <w:p w:rsidR="00EF13FC" w:rsidRDefault="00EF13FC" w:rsidP="00EF13FC">
            <w:pPr>
              <w:rPr>
                <w:szCs w:val="24"/>
                <w:lang w:eastAsia="lt-LT"/>
              </w:rPr>
            </w:pPr>
            <w:r>
              <w:rPr>
                <w:szCs w:val="24"/>
                <w:lang w:eastAsia="lt-LT"/>
              </w:rPr>
              <w:t xml:space="preserve">(1 renginys). </w:t>
            </w:r>
          </w:p>
        </w:tc>
      </w:tr>
    </w:tbl>
    <w:p w:rsidR="003D013C" w:rsidRPr="0090281B" w:rsidRDefault="003D013C" w:rsidP="003D013C">
      <w:pPr>
        <w:rPr>
          <w:szCs w:val="24"/>
        </w:rPr>
      </w:pPr>
    </w:p>
    <w:p w:rsidR="003D013C" w:rsidRPr="0090281B" w:rsidRDefault="003D013C" w:rsidP="003D013C">
      <w:pPr>
        <w:tabs>
          <w:tab w:val="left" w:pos="426"/>
        </w:tabs>
        <w:jc w:val="both"/>
        <w:rPr>
          <w:b/>
          <w:szCs w:val="24"/>
          <w:lang w:eastAsia="lt-LT"/>
        </w:rPr>
      </w:pPr>
      <w:r w:rsidRPr="0090281B">
        <w:rPr>
          <w:b/>
          <w:szCs w:val="24"/>
          <w:lang w:eastAsia="lt-LT"/>
        </w:rPr>
        <w:t>9.</w:t>
      </w:r>
      <w:r w:rsidRPr="0090281B">
        <w:rPr>
          <w:b/>
          <w:szCs w:val="24"/>
          <w:lang w:eastAsia="lt-LT"/>
        </w:rPr>
        <w:tab/>
        <w:t>Rizika, kuriai esant nustatytos užduotys gali būti neįvykdytos</w:t>
      </w:r>
      <w:r w:rsidRPr="0090281B">
        <w:rPr>
          <w:szCs w:val="24"/>
          <w:lang w:eastAsia="lt-LT"/>
        </w:rPr>
        <w:t xml:space="preserve"> </w:t>
      </w:r>
      <w:r w:rsidRPr="0090281B">
        <w:rPr>
          <w:b/>
          <w:szCs w:val="24"/>
          <w:lang w:eastAsia="lt-LT"/>
        </w:rPr>
        <w:t>(aplinkybės, kurios gali turėti neigiamos įtakos įvykdyti šias užduotis)</w:t>
      </w:r>
    </w:p>
    <w:p w:rsidR="003D013C" w:rsidRPr="0090281B" w:rsidRDefault="003D013C" w:rsidP="003D013C">
      <w:pPr>
        <w:rPr>
          <w:sz w:val="20"/>
          <w:lang w:eastAsia="lt-LT"/>
        </w:rPr>
      </w:pPr>
      <w:r w:rsidRPr="0090281B">
        <w:rPr>
          <w:sz w:val="20"/>
          <w:lang w:eastAsia="lt-LT"/>
        </w:rPr>
        <w:t>(pildoma suderinus su švietimo įstaigos vadovu)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3D013C" w:rsidRPr="0090281B" w:rsidTr="00A83465">
        <w:tc>
          <w:tcPr>
            <w:tcW w:w="9493" w:type="dxa"/>
            <w:tcBorders>
              <w:top w:val="single" w:sz="4" w:space="0" w:color="auto"/>
              <w:left w:val="single" w:sz="4" w:space="0" w:color="auto"/>
              <w:bottom w:val="single" w:sz="4" w:space="0" w:color="auto"/>
              <w:right w:val="single" w:sz="4" w:space="0" w:color="auto"/>
            </w:tcBorders>
            <w:hideMark/>
          </w:tcPr>
          <w:p w:rsidR="003D013C" w:rsidRPr="0090281B" w:rsidRDefault="003D013C" w:rsidP="00A83465">
            <w:pPr>
              <w:jc w:val="both"/>
              <w:rPr>
                <w:szCs w:val="24"/>
                <w:lang w:eastAsia="lt-LT"/>
              </w:rPr>
            </w:pPr>
            <w:r w:rsidRPr="0090281B">
              <w:rPr>
                <w:szCs w:val="24"/>
                <w:lang w:eastAsia="lt-LT"/>
              </w:rPr>
              <w:t>9.1.</w:t>
            </w:r>
            <w:r w:rsidR="00E339ED">
              <w:rPr>
                <w:szCs w:val="24"/>
                <w:lang w:eastAsia="lt-LT"/>
              </w:rPr>
              <w:t xml:space="preserve"> </w:t>
            </w:r>
            <w:r w:rsidR="00F81BBF">
              <w:rPr>
                <w:szCs w:val="24"/>
                <w:lang w:eastAsia="lt-LT"/>
              </w:rPr>
              <w:t>Ilgalaikis nedarbingumas.</w:t>
            </w:r>
          </w:p>
        </w:tc>
      </w:tr>
      <w:tr w:rsidR="003D013C" w:rsidRPr="0090281B" w:rsidTr="00A83465">
        <w:tc>
          <w:tcPr>
            <w:tcW w:w="9493" w:type="dxa"/>
            <w:tcBorders>
              <w:top w:val="single" w:sz="4" w:space="0" w:color="auto"/>
              <w:left w:val="single" w:sz="4" w:space="0" w:color="auto"/>
              <w:bottom w:val="single" w:sz="4" w:space="0" w:color="auto"/>
              <w:right w:val="single" w:sz="4" w:space="0" w:color="auto"/>
            </w:tcBorders>
            <w:hideMark/>
          </w:tcPr>
          <w:p w:rsidR="003D013C" w:rsidRPr="0090281B" w:rsidRDefault="003D013C" w:rsidP="00A83465">
            <w:pPr>
              <w:jc w:val="both"/>
              <w:rPr>
                <w:szCs w:val="24"/>
                <w:lang w:eastAsia="lt-LT"/>
              </w:rPr>
            </w:pPr>
            <w:r w:rsidRPr="0090281B">
              <w:rPr>
                <w:szCs w:val="24"/>
                <w:lang w:eastAsia="lt-LT"/>
              </w:rPr>
              <w:t>9.2.</w:t>
            </w:r>
            <w:r w:rsidR="00F81BBF">
              <w:rPr>
                <w:szCs w:val="24"/>
                <w:lang w:eastAsia="lt-LT"/>
              </w:rPr>
              <w:t xml:space="preserve"> Karantinas. </w:t>
            </w:r>
          </w:p>
        </w:tc>
      </w:tr>
      <w:tr w:rsidR="003D013C" w:rsidRPr="0090281B" w:rsidTr="00A83465">
        <w:tc>
          <w:tcPr>
            <w:tcW w:w="9493" w:type="dxa"/>
            <w:tcBorders>
              <w:top w:val="single" w:sz="4" w:space="0" w:color="auto"/>
              <w:left w:val="single" w:sz="4" w:space="0" w:color="auto"/>
              <w:bottom w:val="single" w:sz="4" w:space="0" w:color="auto"/>
              <w:right w:val="single" w:sz="4" w:space="0" w:color="auto"/>
            </w:tcBorders>
            <w:hideMark/>
          </w:tcPr>
          <w:p w:rsidR="003D013C" w:rsidRPr="0090281B" w:rsidRDefault="003D013C" w:rsidP="00A83465">
            <w:pPr>
              <w:jc w:val="both"/>
              <w:rPr>
                <w:szCs w:val="24"/>
                <w:lang w:eastAsia="lt-LT"/>
              </w:rPr>
            </w:pPr>
            <w:r w:rsidRPr="0090281B">
              <w:rPr>
                <w:szCs w:val="24"/>
                <w:lang w:eastAsia="lt-LT"/>
              </w:rPr>
              <w:t>9.3.</w:t>
            </w:r>
            <w:r w:rsidR="00426CC1">
              <w:rPr>
                <w:szCs w:val="24"/>
                <w:lang w:eastAsia="lt-LT"/>
              </w:rPr>
              <w:t xml:space="preserve"> Teisės aktų pasikeitimai. </w:t>
            </w:r>
          </w:p>
        </w:tc>
      </w:tr>
    </w:tbl>
    <w:p w:rsidR="003D013C" w:rsidRPr="0090281B" w:rsidRDefault="003D013C" w:rsidP="003D013C">
      <w:pPr>
        <w:jc w:val="center"/>
        <w:rPr>
          <w:b/>
          <w:lang w:eastAsia="lt-LT"/>
        </w:rPr>
      </w:pPr>
      <w:bookmarkStart w:id="0" w:name="_GoBack"/>
      <w:bookmarkEnd w:id="0"/>
    </w:p>
    <w:sectPr w:rsidR="003D013C" w:rsidRPr="0090281B" w:rsidSect="0090281B">
      <w:headerReference w:type="even" r:id="rId11"/>
      <w:headerReference w:type="default" r:id="rId12"/>
      <w:footerReference w:type="even" r:id="rId13"/>
      <w:footerReference w:type="default" r:id="rId14"/>
      <w:headerReference w:type="first" r:id="rId15"/>
      <w:footerReference w:type="first" r:id="rId16"/>
      <w:pgSz w:w="11907" w:h="16840" w:code="9"/>
      <w:pgMar w:top="851" w:right="562" w:bottom="568" w:left="1699" w:header="288"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36C" w:rsidRDefault="0043236C">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rsidR="0043236C" w:rsidRDefault="0043236C">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Arial"/>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FF1" w:rsidRDefault="009B6FF1">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rsidR="009B6FF1" w:rsidRDefault="009B6FF1">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FF1" w:rsidRDefault="009B6FF1">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FF1" w:rsidRDefault="009B6FF1">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36C" w:rsidRDefault="0043236C">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rsidR="0043236C" w:rsidRDefault="0043236C">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FF1" w:rsidRDefault="009B6FF1">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FF1" w:rsidRDefault="009B6FF1">
    <w:pPr>
      <w:tabs>
        <w:tab w:val="center" w:pos="4819"/>
        <w:tab w:val="right" w:pos="9071"/>
      </w:tabs>
      <w:overflowPunct w:val="0"/>
      <w:jc w:val="center"/>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PAGE   \* MERGEFORMAT</w:instrText>
    </w:r>
    <w:r>
      <w:rPr>
        <w:rFonts w:ascii="HelveticaLT" w:hAnsi="HelveticaLT"/>
        <w:sz w:val="20"/>
        <w:lang w:val="en-GB"/>
      </w:rPr>
      <w:fldChar w:fldCharType="separate"/>
    </w:r>
    <w:r w:rsidR="003C255F" w:rsidRPr="003C255F">
      <w:rPr>
        <w:rFonts w:ascii="HelveticaLT" w:hAnsi="HelveticaLT"/>
        <w:noProof/>
        <w:sz w:val="20"/>
      </w:rPr>
      <w:t>5</w:t>
    </w:r>
    <w:r>
      <w:rPr>
        <w:rFonts w:ascii="HelveticaLT" w:hAnsi="HelveticaLT"/>
        <w:sz w:val="20"/>
        <w:lang w:val="en-GB"/>
      </w:rPr>
      <w:fldChar w:fldCharType="end"/>
    </w:r>
  </w:p>
  <w:p w:rsidR="009B6FF1" w:rsidRDefault="009B6FF1">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FF1" w:rsidRDefault="009B6FF1">
    <w:pPr>
      <w:pStyle w:val="Antrats"/>
      <w:jc w:val="center"/>
    </w:pPr>
  </w:p>
  <w:p w:rsidR="009B6FF1" w:rsidRDefault="009B6FF1">
    <w:pPr>
      <w:tabs>
        <w:tab w:val="center" w:pos="4819"/>
        <w:tab w:val="right" w:pos="9071"/>
      </w:tabs>
      <w:overflowPunct w:val="0"/>
      <w:textAlignment w:val="baseline"/>
      <w:rPr>
        <w:rFonts w:ascii="HelveticaLT" w:hAnsi="HelveticaLT"/>
        <w:sz w:val="20"/>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C4604"/>
    <w:multiLevelType w:val="hybridMultilevel"/>
    <w:tmpl w:val="3D822A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EC3962"/>
    <w:multiLevelType w:val="hybridMultilevel"/>
    <w:tmpl w:val="8E502A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 w15:restartNumberingAfterBreak="0">
    <w:nsid w:val="185644C6"/>
    <w:multiLevelType w:val="hybridMultilevel"/>
    <w:tmpl w:val="989AEFA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0D245D9"/>
    <w:multiLevelType w:val="hybridMultilevel"/>
    <w:tmpl w:val="968AD4B8"/>
    <w:lvl w:ilvl="0" w:tplc="0427000F">
      <w:start w:val="1"/>
      <w:numFmt w:val="decimal"/>
      <w:lvlText w:val="%1."/>
      <w:lvlJc w:val="left"/>
      <w:pPr>
        <w:ind w:left="1316" w:hanging="360"/>
      </w:pPr>
    </w:lvl>
    <w:lvl w:ilvl="1" w:tplc="04270019" w:tentative="1">
      <w:start w:val="1"/>
      <w:numFmt w:val="lowerLetter"/>
      <w:lvlText w:val="%2."/>
      <w:lvlJc w:val="left"/>
      <w:pPr>
        <w:ind w:left="2036" w:hanging="360"/>
      </w:pPr>
    </w:lvl>
    <w:lvl w:ilvl="2" w:tplc="0427001B" w:tentative="1">
      <w:start w:val="1"/>
      <w:numFmt w:val="lowerRoman"/>
      <w:lvlText w:val="%3."/>
      <w:lvlJc w:val="right"/>
      <w:pPr>
        <w:ind w:left="2756" w:hanging="180"/>
      </w:pPr>
    </w:lvl>
    <w:lvl w:ilvl="3" w:tplc="0427000F" w:tentative="1">
      <w:start w:val="1"/>
      <w:numFmt w:val="decimal"/>
      <w:lvlText w:val="%4."/>
      <w:lvlJc w:val="left"/>
      <w:pPr>
        <w:ind w:left="3476" w:hanging="360"/>
      </w:pPr>
    </w:lvl>
    <w:lvl w:ilvl="4" w:tplc="04270019" w:tentative="1">
      <w:start w:val="1"/>
      <w:numFmt w:val="lowerLetter"/>
      <w:lvlText w:val="%5."/>
      <w:lvlJc w:val="left"/>
      <w:pPr>
        <w:ind w:left="4196" w:hanging="360"/>
      </w:pPr>
    </w:lvl>
    <w:lvl w:ilvl="5" w:tplc="0427001B" w:tentative="1">
      <w:start w:val="1"/>
      <w:numFmt w:val="lowerRoman"/>
      <w:lvlText w:val="%6."/>
      <w:lvlJc w:val="right"/>
      <w:pPr>
        <w:ind w:left="4916" w:hanging="180"/>
      </w:pPr>
    </w:lvl>
    <w:lvl w:ilvl="6" w:tplc="0427000F" w:tentative="1">
      <w:start w:val="1"/>
      <w:numFmt w:val="decimal"/>
      <w:lvlText w:val="%7."/>
      <w:lvlJc w:val="left"/>
      <w:pPr>
        <w:ind w:left="5636" w:hanging="360"/>
      </w:pPr>
    </w:lvl>
    <w:lvl w:ilvl="7" w:tplc="04270019" w:tentative="1">
      <w:start w:val="1"/>
      <w:numFmt w:val="lowerLetter"/>
      <w:lvlText w:val="%8."/>
      <w:lvlJc w:val="left"/>
      <w:pPr>
        <w:ind w:left="6356" w:hanging="360"/>
      </w:pPr>
    </w:lvl>
    <w:lvl w:ilvl="8" w:tplc="0427001B" w:tentative="1">
      <w:start w:val="1"/>
      <w:numFmt w:val="lowerRoman"/>
      <w:lvlText w:val="%9."/>
      <w:lvlJc w:val="right"/>
      <w:pPr>
        <w:ind w:left="7076" w:hanging="180"/>
      </w:pPr>
    </w:lvl>
  </w:abstractNum>
  <w:abstractNum w:abstractNumId="4" w15:restartNumberingAfterBreak="0">
    <w:nsid w:val="21E92F2E"/>
    <w:multiLevelType w:val="hybridMultilevel"/>
    <w:tmpl w:val="52CCF1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9F06C3"/>
    <w:multiLevelType w:val="hybridMultilevel"/>
    <w:tmpl w:val="977AC1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720DA8"/>
    <w:multiLevelType w:val="hybridMultilevel"/>
    <w:tmpl w:val="FE7ED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0AE7132"/>
    <w:multiLevelType w:val="hybridMultilevel"/>
    <w:tmpl w:val="358A6A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D49078A"/>
    <w:multiLevelType w:val="multilevel"/>
    <w:tmpl w:val="D7EC31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7556DC"/>
    <w:multiLevelType w:val="hybridMultilevel"/>
    <w:tmpl w:val="8E502A7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64F71636"/>
    <w:multiLevelType w:val="hybridMultilevel"/>
    <w:tmpl w:val="968AD4B8"/>
    <w:lvl w:ilvl="0" w:tplc="0427000F">
      <w:start w:val="1"/>
      <w:numFmt w:val="decimal"/>
      <w:lvlText w:val="%1."/>
      <w:lvlJc w:val="left"/>
      <w:pPr>
        <w:ind w:left="1316" w:hanging="360"/>
      </w:pPr>
    </w:lvl>
    <w:lvl w:ilvl="1" w:tplc="04270019" w:tentative="1">
      <w:start w:val="1"/>
      <w:numFmt w:val="lowerLetter"/>
      <w:lvlText w:val="%2."/>
      <w:lvlJc w:val="left"/>
      <w:pPr>
        <w:ind w:left="2036" w:hanging="360"/>
      </w:pPr>
    </w:lvl>
    <w:lvl w:ilvl="2" w:tplc="0427001B" w:tentative="1">
      <w:start w:val="1"/>
      <w:numFmt w:val="lowerRoman"/>
      <w:lvlText w:val="%3."/>
      <w:lvlJc w:val="right"/>
      <w:pPr>
        <w:ind w:left="2756" w:hanging="180"/>
      </w:pPr>
    </w:lvl>
    <w:lvl w:ilvl="3" w:tplc="0427000F" w:tentative="1">
      <w:start w:val="1"/>
      <w:numFmt w:val="decimal"/>
      <w:lvlText w:val="%4."/>
      <w:lvlJc w:val="left"/>
      <w:pPr>
        <w:ind w:left="3476" w:hanging="360"/>
      </w:pPr>
    </w:lvl>
    <w:lvl w:ilvl="4" w:tplc="04270019" w:tentative="1">
      <w:start w:val="1"/>
      <w:numFmt w:val="lowerLetter"/>
      <w:lvlText w:val="%5."/>
      <w:lvlJc w:val="left"/>
      <w:pPr>
        <w:ind w:left="4196" w:hanging="360"/>
      </w:pPr>
    </w:lvl>
    <w:lvl w:ilvl="5" w:tplc="0427001B" w:tentative="1">
      <w:start w:val="1"/>
      <w:numFmt w:val="lowerRoman"/>
      <w:lvlText w:val="%6."/>
      <w:lvlJc w:val="right"/>
      <w:pPr>
        <w:ind w:left="4916" w:hanging="180"/>
      </w:pPr>
    </w:lvl>
    <w:lvl w:ilvl="6" w:tplc="0427000F" w:tentative="1">
      <w:start w:val="1"/>
      <w:numFmt w:val="decimal"/>
      <w:lvlText w:val="%7."/>
      <w:lvlJc w:val="left"/>
      <w:pPr>
        <w:ind w:left="5636" w:hanging="360"/>
      </w:pPr>
    </w:lvl>
    <w:lvl w:ilvl="7" w:tplc="04270019" w:tentative="1">
      <w:start w:val="1"/>
      <w:numFmt w:val="lowerLetter"/>
      <w:lvlText w:val="%8."/>
      <w:lvlJc w:val="left"/>
      <w:pPr>
        <w:ind w:left="6356" w:hanging="360"/>
      </w:pPr>
    </w:lvl>
    <w:lvl w:ilvl="8" w:tplc="0427001B" w:tentative="1">
      <w:start w:val="1"/>
      <w:numFmt w:val="lowerRoman"/>
      <w:lvlText w:val="%9."/>
      <w:lvlJc w:val="right"/>
      <w:pPr>
        <w:ind w:left="7076" w:hanging="180"/>
      </w:pPr>
    </w:lvl>
  </w:abstractNum>
  <w:abstractNum w:abstractNumId="11" w15:restartNumberingAfterBreak="0">
    <w:nsid w:val="65485160"/>
    <w:multiLevelType w:val="hybridMultilevel"/>
    <w:tmpl w:val="227AF4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382C4B"/>
    <w:multiLevelType w:val="hybridMultilevel"/>
    <w:tmpl w:val="EAB247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5"/>
  </w:num>
  <w:num w:numId="3">
    <w:abstractNumId w:val="11"/>
  </w:num>
  <w:num w:numId="4">
    <w:abstractNumId w:val="2"/>
  </w:num>
  <w:num w:numId="5">
    <w:abstractNumId w:val="6"/>
  </w:num>
  <w:num w:numId="6">
    <w:abstractNumId w:val="7"/>
  </w:num>
  <w:num w:numId="7">
    <w:abstractNumId w:val="4"/>
  </w:num>
  <w:num w:numId="8">
    <w:abstractNumId w:val="12"/>
  </w:num>
  <w:num w:numId="9">
    <w:abstractNumId w:val="10"/>
  </w:num>
  <w:num w:numId="10">
    <w:abstractNumId w:val="3"/>
  </w:num>
  <w:num w:numId="11">
    <w:abstractNumId w:val="0"/>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intFractionalCharacterWidth/>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63"/>
    <w:rsid w:val="000061F9"/>
    <w:rsid w:val="000247AC"/>
    <w:rsid w:val="00033D33"/>
    <w:rsid w:val="00044B11"/>
    <w:rsid w:val="00050B52"/>
    <w:rsid w:val="00051A52"/>
    <w:rsid w:val="00054174"/>
    <w:rsid w:val="000602F9"/>
    <w:rsid w:val="00062959"/>
    <w:rsid w:val="000632EA"/>
    <w:rsid w:val="00080477"/>
    <w:rsid w:val="00084539"/>
    <w:rsid w:val="0009784A"/>
    <w:rsid w:val="000A5228"/>
    <w:rsid w:val="000C40EA"/>
    <w:rsid w:val="000E218B"/>
    <w:rsid w:val="00114190"/>
    <w:rsid w:val="001143A1"/>
    <w:rsid w:val="001152B6"/>
    <w:rsid w:val="001169F9"/>
    <w:rsid w:val="00117C7C"/>
    <w:rsid w:val="0012027C"/>
    <w:rsid w:val="00143E7E"/>
    <w:rsid w:val="001542E9"/>
    <w:rsid w:val="001567CC"/>
    <w:rsid w:val="00163C3F"/>
    <w:rsid w:val="00165CC2"/>
    <w:rsid w:val="00166185"/>
    <w:rsid w:val="001736D0"/>
    <w:rsid w:val="00191594"/>
    <w:rsid w:val="00194333"/>
    <w:rsid w:val="00194A45"/>
    <w:rsid w:val="001A15A2"/>
    <w:rsid w:val="001A2601"/>
    <w:rsid w:val="001A5B3E"/>
    <w:rsid w:val="001C39A7"/>
    <w:rsid w:val="001D01BB"/>
    <w:rsid w:val="00203C59"/>
    <w:rsid w:val="00222857"/>
    <w:rsid w:val="0023384E"/>
    <w:rsid w:val="00233F89"/>
    <w:rsid w:val="002430D2"/>
    <w:rsid w:val="002578A6"/>
    <w:rsid w:val="00267CF5"/>
    <w:rsid w:val="00271011"/>
    <w:rsid w:val="00287721"/>
    <w:rsid w:val="002905A1"/>
    <w:rsid w:val="002A1949"/>
    <w:rsid w:val="002B0F23"/>
    <w:rsid w:val="002B7A87"/>
    <w:rsid w:val="002C00A8"/>
    <w:rsid w:val="002C6CF6"/>
    <w:rsid w:val="002C78E9"/>
    <w:rsid w:val="002D296E"/>
    <w:rsid w:val="002D5484"/>
    <w:rsid w:val="002D60F7"/>
    <w:rsid w:val="002E551C"/>
    <w:rsid w:val="002E70C4"/>
    <w:rsid w:val="002F18AD"/>
    <w:rsid w:val="002F2221"/>
    <w:rsid w:val="00305D34"/>
    <w:rsid w:val="003136FD"/>
    <w:rsid w:val="00317315"/>
    <w:rsid w:val="00320A97"/>
    <w:rsid w:val="003257F1"/>
    <w:rsid w:val="00325B9B"/>
    <w:rsid w:val="00326DD0"/>
    <w:rsid w:val="00330863"/>
    <w:rsid w:val="0033363D"/>
    <w:rsid w:val="00333F81"/>
    <w:rsid w:val="003348B3"/>
    <w:rsid w:val="00335CE2"/>
    <w:rsid w:val="00350249"/>
    <w:rsid w:val="00352D0C"/>
    <w:rsid w:val="00355E19"/>
    <w:rsid w:val="00375371"/>
    <w:rsid w:val="0038095A"/>
    <w:rsid w:val="003868F5"/>
    <w:rsid w:val="00387760"/>
    <w:rsid w:val="00393D32"/>
    <w:rsid w:val="003B44DB"/>
    <w:rsid w:val="003C255F"/>
    <w:rsid w:val="003C35AC"/>
    <w:rsid w:val="003C594E"/>
    <w:rsid w:val="003C5CAC"/>
    <w:rsid w:val="003D013C"/>
    <w:rsid w:val="003D0CE6"/>
    <w:rsid w:val="003E3BCB"/>
    <w:rsid w:val="003F0298"/>
    <w:rsid w:val="003F0BCD"/>
    <w:rsid w:val="0040080A"/>
    <w:rsid w:val="00404AB4"/>
    <w:rsid w:val="00411F79"/>
    <w:rsid w:val="004203F4"/>
    <w:rsid w:val="00423471"/>
    <w:rsid w:val="00426CC1"/>
    <w:rsid w:val="0043236C"/>
    <w:rsid w:val="0043352C"/>
    <w:rsid w:val="00452CA6"/>
    <w:rsid w:val="00452D84"/>
    <w:rsid w:val="004537FD"/>
    <w:rsid w:val="00467302"/>
    <w:rsid w:val="00474BF2"/>
    <w:rsid w:val="004802C6"/>
    <w:rsid w:val="00480E5E"/>
    <w:rsid w:val="00482540"/>
    <w:rsid w:val="004926A4"/>
    <w:rsid w:val="004A09DA"/>
    <w:rsid w:val="004C5757"/>
    <w:rsid w:val="004D116F"/>
    <w:rsid w:val="004E2F18"/>
    <w:rsid w:val="004E3E7C"/>
    <w:rsid w:val="004F49FC"/>
    <w:rsid w:val="00504F3F"/>
    <w:rsid w:val="005070D2"/>
    <w:rsid w:val="00544958"/>
    <w:rsid w:val="005479FC"/>
    <w:rsid w:val="005653AE"/>
    <w:rsid w:val="005654A4"/>
    <w:rsid w:val="0058071F"/>
    <w:rsid w:val="00585873"/>
    <w:rsid w:val="00596585"/>
    <w:rsid w:val="005972D5"/>
    <w:rsid w:val="005A1088"/>
    <w:rsid w:val="005B08D4"/>
    <w:rsid w:val="005B0C2B"/>
    <w:rsid w:val="005B1A9E"/>
    <w:rsid w:val="005B3511"/>
    <w:rsid w:val="005C62EE"/>
    <w:rsid w:val="005C6E24"/>
    <w:rsid w:val="005D1007"/>
    <w:rsid w:val="005D6F90"/>
    <w:rsid w:val="005D7ECB"/>
    <w:rsid w:val="005E394C"/>
    <w:rsid w:val="005F2A59"/>
    <w:rsid w:val="00607D2E"/>
    <w:rsid w:val="0062015B"/>
    <w:rsid w:val="00632162"/>
    <w:rsid w:val="0063329A"/>
    <w:rsid w:val="006605C4"/>
    <w:rsid w:val="00663129"/>
    <w:rsid w:val="0066384B"/>
    <w:rsid w:val="006657CA"/>
    <w:rsid w:val="00687601"/>
    <w:rsid w:val="00693341"/>
    <w:rsid w:val="00694F5A"/>
    <w:rsid w:val="006A1B70"/>
    <w:rsid w:val="006A1D7C"/>
    <w:rsid w:val="006A3B46"/>
    <w:rsid w:val="006A4CEB"/>
    <w:rsid w:val="006A580F"/>
    <w:rsid w:val="006A6B43"/>
    <w:rsid w:val="006B43FE"/>
    <w:rsid w:val="006B464E"/>
    <w:rsid w:val="006B7C17"/>
    <w:rsid w:val="006C1C3E"/>
    <w:rsid w:val="006D2B05"/>
    <w:rsid w:val="006D6283"/>
    <w:rsid w:val="006D6FD5"/>
    <w:rsid w:val="006E4C46"/>
    <w:rsid w:val="006F1333"/>
    <w:rsid w:val="006F5E03"/>
    <w:rsid w:val="006F6E2C"/>
    <w:rsid w:val="00711FC6"/>
    <w:rsid w:val="007232BD"/>
    <w:rsid w:val="00725903"/>
    <w:rsid w:val="00730ABA"/>
    <w:rsid w:val="00740BC4"/>
    <w:rsid w:val="00742A13"/>
    <w:rsid w:val="00754EA3"/>
    <w:rsid w:val="00761E9E"/>
    <w:rsid w:val="00766896"/>
    <w:rsid w:val="00784C27"/>
    <w:rsid w:val="00785A4C"/>
    <w:rsid w:val="00787E3D"/>
    <w:rsid w:val="00794512"/>
    <w:rsid w:val="007A0D6D"/>
    <w:rsid w:val="007B392C"/>
    <w:rsid w:val="007B558A"/>
    <w:rsid w:val="007B6A26"/>
    <w:rsid w:val="007D0F72"/>
    <w:rsid w:val="007D555F"/>
    <w:rsid w:val="007D6491"/>
    <w:rsid w:val="007D7A55"/>
    <w:rsid w:val="007E0917"/>
    <w:rsid w:val="00803733"/>
    <w:rsid w:val="00804037"/>
    <w:rsid w:val="00805423"/>
    <w:rsid w:val="00812FB4"/>
    <w:rsid w:val="00813D14"/>
    <w:rsid w:val="008211FA"/>
    <w:rsid w:val="00831670"/>
    <w:rsid w:val="008316FF"/>
    <w:rsid w:val="008339EC"/>
    <w:rsid w:val="008340A9"/>
    <w:rsid w:val="00836BC9"/>
    <w:rsid w:val="0084157C"/>
    <w:rsid w:val="00842001"/>
    <w:rsid w:val="00846B9B"/>
    <w:rsid w:val="00856903"/>
    <w:rsid w:val="00872165"/>
    <w:rsid w:val="00874233"/>
    <w:rsid w:val="00882CEA"/>
    <w:rsid w:val="00887CF0"/>
    <w:rsid w:val="00890F74"/>
    <w:rsid w:val="008950C9"/>
    <w:rsid w:val="00897C79"/>
    <w:rsid w:val="00897C8F"/>
    <w:rsid w:val="008B2D3E"/>
    <w:rsid w:val="008B7A7F"/>
    <w:rsid w:val="008C04AE"/>
    <w:rsid w:val="008C5323"/>
    <w:rsid w:val="008D1099"/>
    <w:rsid w:val="008D3015"/>
    <w:rsid w:val="008E1F98"/>
    <w:rsid w:val="008E3A60"/>
    <w:rsid w:val="008E7AB1"/>
    <w:rsid w:val="008E7C10"/>
    <w:rsid w:val="008F2730"/>
    <w:rsid w:val="008F5512"/>
    <w:rsid w:val="0090281B"/>
    <w:rsid w:val="009069A4"/>
    <w:rsid w:val="00913BBF"/>
    <w:rsid w:val="009258AB"/>
    <w:rsid w:val="0093092B"/>
    <w:rsid w:val="0093164D"/>
    <w:rsid w:val="009411FA"/>
    <w:rsid w:val="00947063"/>
    <w:rsid w:val="009471AC"/>
    <w:rsid w:val="00957B46"/>
    <w:rsid w:val="00961356"/>
    <w:rsid w:val="009620D0"/>
    <w:rsid w:val="009625E4"/>
    <w:rsid w:val="00963761"/>
    <w:rsid w:val="009732CA"/>
    <w:rsid w:val="00977CD2"/>
    <w:rsid w:val="00982924"/>
    <w:rsid w:val="00984455"/>
    <w:rsid w:val="009923D3"/>
    <w:rsid w:val="009A2DBB"/>
    <w:rsid w:val="009B4544"/>
    <w:rsid w:val="009B464C"/>
    <w:rsid w:val="009B6FF1"/>
    <w:rsid w:val="009D0623"/>
    <w:rsid w:val="009D07F2"/>
    <w:rsid w:val="009D1214"/>
    <w:rsid w:val="009D433E"/>
    <w:rsid w:val="009E6991"/>
    <w:rsid w:val="009F41EB"/>
    <w:rsid w:val="00A1132F"/>
    <w:rsid w:val="00A13BF1"/>
    <w:rsid w:val="00A13FBE"/>
    <w:rsid w:val="00A23AE9"/>
    <w:rsid w:val="00A34670"/>
    <w:rsid w:val="00A361A2"/>
    <w:rsid w:val="00A40471"/>
    <w:rsid w:val="00A42312"/>
    <w:rsid w:val="00A5064F"/>
    <w:rsid w:val="00A5315B"/>
    <w:rsid w:val="00A6587D"/>
    <w:rsid w:val="00A65B28"/>
    <w:rsid w:val="00A67A5A"/>
    <w:rsid w:val="00A72BD1"/>
    <w:rsid w:val="00A9171A"/>
    <w:rsid w:val="00A979F1"/>
    <w:rsid w:val="00AA1640"/>
    <w:rsid w:val="00AA35C9"/>
    <w:rsid w:val="00AA4735"/>
    <w:rsid w:val="00AB69ED"/>
    <w:rsid w:val="00AC19B8"/>
    <w:rsid w:val="00AC2B42"/>
    <w:rsid w:val="00AC38C3"/>
    <w:rsid w:val="00AC5BA9"/>
    <w:rsid w:val="00AC5CD2"/>
    <w:rsid w:val="00AC6DF5"/>
    <w:rsid w:val="00AD01B7"/>
    <w:rsid w:val="00AF10AC"/>
    <w:rsid w:val="00B01309"/>
    <w:rsid w:val="00B02E32"/>
    <w:rsid w:val="00B05847"/>
    <w:rsid w:val="00B15A56"/>
    <w:rsid w:val="00B223D5"/>
    <w:rsid w:val="00B25BE2"/>
    <w:rsid w:val="00B301BF"/>
    <w:rsid w:val="00B334A7"/>
    <w:rsid w:val="00B43A9F"/>
    <w:rsid w:val="00B45111"/>
    <w:rsid w:val="00B54BA6"/>
    <w:rsid w:val="00B61FB9"/>
    <w:rsid w:val="00B7220F"/>
    <w:rsid w:val="00B729EE"/>
    <w:rsid w:val="00B73915"/>
    <w:rsid w:val="00B96BAB"/>
    <w:rsid w:val="00BA1DD5"/>
    <w:rsid w:val="00BA7957"/>
    <w:rsid w:val="00BB1922"/>
    <w:rsid w:val="00BB25E4"/>
    <w:rsid w:val="00BB7342"/>
    <w:rsid w:val="00BC7AC7"/>
    <w:rsid w:val="00BC7D28"/>
    <w:rsid w:val="00BE2D5F"/>
    <w:rsid w:val="00BF0B54"/>
    <w:rsid w:val="00BF1C1F"/>
    <w:rsid w:val="00BF547F"/>
    <w:rsid w:val="00C01D25"/>
    <w:rsid w:val="00C074BB"/>
    <w:rsid w:val="00C25239"/>
    <w:rsid w:val="00C253C6"/>
    <w:rsid w:val="00C33DE5"/>
    <w:rsid w:val="00C374B5"/>
    <w:rsid w:val="00C37D63"/>
    <w:rsid w:val="00C4164C"/>
    <w:rsid w:val="00C45D6F"/>
    <w:rsid w:val="00C50215"/>
    <w:rsid w:val="00C50575"/>
    <w:rsid w:val="00C53B24"/>
    <w:rsid w:val="00C54B99"/>
    <w:rsid w:val="00C54DA8"/>
    <w:rsid w:val="00C62DB1"/>
    <w:rsid w:val="00C719AE"/>
    <w:rsid w:val="00C72517"/>
    <w:rsid w:val="00C72991"/>
    <w:rsid w:val="00C852B3"/>
    <w:rsid w:val="00C872EE"/>
    <w:rsid w:val="00C9667C"/>
    <w:rsid w:val="00CA557A"/>
    <w:rsid w:val="00CC4BF5"/>
    <w:rsid w:val="00CD5AC6"/>
    <w:rsid w:val="00CE059A"/>
    <w:rsid w:val="00CE2209"/>
    <w:rsid w:val="00CE38F9"/>
    <w:rsid w:val="00CE7741"/>
    <w:rsid w:val="00CF670A"/>
    <w:rsid w:val="00CF6ED0"/>
    <w:rsid w:val="00D02D51"/>
    <w:rsid w:val="00D040EC"/>
    <w:rsid w:val="00D04800"/>
    <w:rsid w:val="00D06851"/>
    <w:rsid w:val="00D142DE"/>
    <w:rsid w:val="00D279F2"/>
    <w:rsid w:val="00D3060B"/>
    <w:rsid w:val="00D31B27"/>
    <w:rsid w:val="00D33F12"/>
    <w:rsid w:val="00D408DD"/>
    <w:rsid w:val="00D41344"/>
    <w:rsid w:val="00D43197"/>
    <w:rsid w:val="00D43723"/>
    <w:rsid w:val="00D715A4"/>
    <w:rsid w:val="00D75494"/>
    <w:rsid w:val="00D77774"/>
    <w:rsid w:val="00D914ED"/>
    <w:rsid w:val="00D943CB"/>
    <w:rsid w:val="00D95052"/>
    <w:rsid w:val="00D97AE9"/>
    <w:rsid w:val="00DB5BE5"/>
    <w:rsid w:val="00DB7914"/>
    <w:rsid w:val="00DD5CC8"/>
    <w:rsid w:val="00DE177F"/>
    <w:rsid w:val="00DE1DDB"/>
    <w:rsid w:val="00DF32B2"/>
    <w:rsid w:val="00DF5D53"/>
    <w:rsid w:val="00DF6023"/>
    <w:rsid w:val="00E07678"/>
    <w:rsid w:val="00E12FEA"/>
    <w:rsid w:val="00E24E76"/>
    <w:rsid w:val="00E339ED"/>
    <w:rsid w:val="00E3702A"/>
    <w:rsid w:val="00E41324"/>
    <w:rsid w:val="00E54EAF"/>
    <w:rsid w:val="00E60603"/>
    <w:rsid w:val="00E7286B"/>
    <w:rsid w:val="00E75AD1"/>
    <w:rsid w:val="00E84AF0"/>
    <w:rsid w:val="00E902FB"/>
    <w:rsid w:val="00E92614"/>
    <w:rsid w:val="00E937D1"/>
    <w:rsid w:val="00EA2DE6"/>
    <w:rsid w:val="00EA7663"/>
    <w:rsid w:val="00EB22D6"/>
    <w:rsid w:val="00EB462A"/>
    <w:rsid w:val="00EC11D7"/>
    <w:rsid w:val="00EC23C0"/>
    <w:rsid w:val="00EC4FDA"/>
    <w:rsid w:val="00ED4735"/>
    <w:rsid w:val="00ED7D6C"/>
    <w:rsid w:val="00EE64FC"/>
    <w:rsid w:val="00EF13FC"/>
    <w:rsid w:val="00EF59EF"/>
    <w:rsid w:val="00F04D18"/>
    <w:rsid w:val="00F11181"/>
    <w:rsid w:val="00F111B1"/>
    <w:rsid w:val="00F14F2B"/>
    <w:rsid w:val="00F207D5"/>
    <w:rsid w:val="00F20D25"/>
    <w:rsid w:val="00F21C63"/>
    <w:rsid w:val="00F26332"/>
    <w:rsid w:val="00F2786A"/>
    <w:rsid w:val="00F36EE0"/>
    <w:rsid w:val="00F4023A"/>
    <w:rsid w:val="00F43937"/>
    <w:rsid w:val="00F452EB"/>
    <w:rsid w:val="00F4709E"/>
    <w:rsid w:val="00F52CB3"/>
    <w:rsid w:val="00F61E41"/>
    <w:rsid w:val="00F63444"/>
    <w:rsid w:val="00F6544C"/>
    <w:rsid w:val="00F7556D"/>
    <w:rsid w:val="00F81BBF"/>
    <w:rsid w:val="00F851DE"/>
    <w:rsid w:val="00F94926"/>
    <w:rsid w:val="00FA03D6"/>
    <w:rsid w:val="00FA3F8C"/>
    <w:rsid w:val="00FB4CFC"/>
    <w:rsid w:val="00FB5862"/>
    <w:rsid w:val="00FC52A3"/>
    <w:rsid w:val="00FC733D"/>
    <w:rsid w:val="00FD3B1E"/>
    <w:rsid w:val="00FD70EF"/>
    <w:rsid w:val="00FD74EC"/>
    <w:rsid w:val="00FF5CE0"/>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A59E264-ED27-401D-A92F-9397DAE97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3868F5"/>
    <w:rPr>
      <w:color w:val="808080"/>
    </w:rPr>
  </w:style>
  <w:style w:type="paragraph" w:styleId="Antrats">
    <w:name w:val="header"/>
    <w:basedOn w:val="prastasis"/>
    <w:link w:val="AntratsDiagrama"/>
    <w:uiPriority w:val="99"/>
    <w:unhideWhenUsed/>
    <w:rsid w:val="003868F5"/>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3868F5"/>
    <w:rPr>
      <w:rFonts w:asciiTheme="minorHAnsi" w:eastAsiaTheme="minorEastAsia" w:hAnsiTheme="minorHAnsi" w:cstheme="minorBidi"/>
      <w:sz w:val="22"/>
      <w:szCs w:val="22"/>
      <w:lang w:eastAsia="lt-LT"/>
    </w:rPr>
  </w:style>
  <w:style w:type="paragraph" w:styleId="Debesliotekstas">
    <w:name w:val="Balloon Text"/>
    <w:basedOn w:val="prastasis"/>
    <w:link w:val="DebesliotekstasDiagrama"/>
    <w:rsid w:val="00E7286B"/>
    <w:rPr>
      <w:rFonts w:ascii="Tahoma" w:hAnsi="Tahoma" w:cs="Tahoma"/>
      <w:sz w:val="16"/>
      <w:szCs w:val="16"/>
    </w:rPr>
  </w:style>
  <w:style w:type="character" w:customStyle="1" w:styleId="DebesliotekstasDiagrama">
    <w:name w:val="Debesėlio tekstas Diagrama"/>
    <w:basedOn w:val="Numatytasispastraiposriftas"/>
    <w:link w:val="Debesliotekstas"/>
    <w:rsid w:val="00E7286B"/>
    <w:rPr>
      <w:rFonts w:ascii="Tahoma" w:hAnsi="Tahoma" w:cs="Tahoma"/>
      <w:sz w:val="16"/>
      <w:szCs w:val="16"/>
    </w:rPr>
  </w:style>
  <w:style w:type="paragraph" w:styleId="Sraopastraipa">
    <w:name w:val="List Paragraph"/>
    <w:basedOn w:val="prastasis"/>
    <w:uiPriority w:val="1"/>
    <w:qFormat/>
    <w:rsid w:val="00B54BA6"/>
    <w:pPr>
      <w:spacing w:after="200" w:line="276" w:lineRule="auto"/>
      <w:ind w:left="720"/>
      <w:contextualSpacing/>
    </w:pPr>
    <w:rPr>
      <w:rFonts w:asciiTheme="minorHAnsi" w:eastAsiaTheme="minorHAnsi" w:hAnsiTheme="minorHAnsi" w:cstheme="minorBidi"/>
      <w:sz w:val="22"/>
      <w:szCs w:val="22"/>
      <w:lang w:val="en-US"/>
    </w:rPr>
  </w:style>
  <w:style w:type="table" w:styleId="Lentelstinklelis">
    <w:name w:val="Table Grid"/>
    <w:basedOn w:val="prastojilentel"/>
    <w:uiPriority w:val="39"/>
    <w:rsid w:val="008339E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1"/>
    <w:qFormat/>
    <w:rsid w:val="009D0623"/>
    <w:pPr>
      <w:widowControl w:val="0"/>
      <w:autoSpaceDE w:val="0"/>
      <w:autoSpaceDN w:val="0"/>
      <w:jc w:val="both"/>
    </w:pPr>
    <w:rPr>
      <w:szCs w:val="24"/>
    </w:rPr>
  </w:style>
  <w:style w:type="character" w:customStyle="1" w:styleId="PagrindinistekstasDiagrama">
    <w:name w:val="Pagrindinis tekstas Diagrama"/>
    <w:basedOn w:val="Numatytasispastraiposriftas"/>
    <w:link w:val="Pagrindinistekstas"/>
    <w:uiPriority w:val="1"/>
    <w:rsid w:val="009D0623"/>
    <w:rPr>
      <w:szCs w:val="24"/>
    </w:rPr>
  </w:style>
  <w:style w:type="paragraph" w:customStyle="1" w:styleId="Porat1">
    <w:name w:val="Poraštė1"/>
    <w:basedOn w:val="prastasis"/>
    <w:rsid w:val="006F5E03"/>
    <w:pPr>
      <w:suppressLineNumbers/>
      <w:tabs>
        <w:tab w:val="center" w:pos="4153"/>
        <w:tab w:val="right" w:pos="8306"/>
      </w:tabs>
      <w:suppressAutoHyphens/>
      <w:spacing w:line="100" w:lineRule="atLeast"/>
    </w:pPr>
    <w:rPr>
      <w:rFonts w:eastAsia="Calibri"/>
      <w:color w:val="000000"/>
      <w:kern w:val="2"/>
      <w:szCs w:val="24"/>
      <w:lang w:val="en-GB" w:eastAsia="ar-SA"/>
    </w:rPr>
  </w:style>
  <w:style w:type="paragraph" w:styleId="prastasiniatinklio">
    <w:name w:val="Normal (Web)"/>
    <w:basedOn w:val="prastasis"/>
    <w:uiPriority w:val="99"/>
    <w:unhideWhenUsed/>
    <w:rsid w:val="006F5E03"/>
    <w:pPr>
      <w:spacing w:before="100" w:beforeAutospacing="1" w:after="100" w:afterAutospacing="1"/>
    </w:pPr>
    <w:rPr>
      <w:szCs w:val="24"/>
      <w:lang w:eastAsia="lt-LT"/>
    </w:rPr>
  </w:style>
  <w:style w:type="character" w:styleId="Emfaz">
    <w:name w:val="Emphasis"/>
    <w:uiPriority w:val="20"/>
    <w:qFormat/>
    <w:rsid w:val="006F5E0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1781">
      <w:bodyDiv w:val="1"/>
      <w:marLeft w:val="0"/>
      <w:marRight w:val="0"/>
      <w:marTop w:val="0"/>
      <w:marBottom w:val="0"/>
      <w:divBdr>
        <w:top w:val="none" w:sz="0" w:space="0" w:color="auto"/>
        <w:left w:val="none" w:sz="0" w:space="0" w:color="auto"/>
        <w:bottom w:val="none" w:sz="0" w:space="0" w:color="auto"/>
        <w:right w:val="none" w:sz="0" w:space="0" w:color="auto"/>
      </w:divBdr>
    </w:div>
    <w:div w:id="100802140">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861624562">
      <w:bodyDiv w:val="1"/>
      <w:marLeft w:val="0"/>
      <w:marRight w:val="0"/>
      <w:marTop w:val="0"/>
      <w:marBottom w:val="0"/>
      <w:divBdr>
        <w:top w:val="none" w:sz="0" w:space="0" w:color="auto"/>
        <w:left w:val="none" w:sz="0" w:space="0" w:color="auto"/>
        <w:bottom w:val="none" w:sz="0" w:space="0" w:color="auto"/>
        <w:right w:val="none" w:sz="0" w:space="0" w:color="auto"/>
      </w:divBdr>
    </w:div>
    <w:div w:id="932206601">
      <w:bodyDiv w:val="1"/>
      <w:marLeft w:val="0"/>
      <w:marRight w:val="0"/>
      <w:marTop w:val="0"/>
      <w:marBottom w:val="0"/>
      <w:divBdr>
        <w:top w:val="none" w:sz="0" w:space="0" w:color="auto"/>
        <w:left w:val="none" w:sz="0" w:space="0" w:color="auto"/>
        <w:bottom w:val="none" w:sz="0" w:space="0" w:color="auto"/>
        <w:right w:val="none" w:sz="0" w:space="0" w:color="auto"/>
      </w:divBdr>
      <w:divsChild>
        <w:div w:id="1515068529">
          <w:marLeft w:val="0"/>
          <w:marRight w:val="0"/>
          <w:marTop w:val="120"/>
          <w:marBottom w:val="120"/>
          <w:divBdr>
            <w:top w:val="none" w:sz="0" w:space="0" w:color="auto"/>
            <w:left w:val="none" w:sz="0" w:space="0" w:color="auto"/>
            <w:bottom w:val="none" w:sz="0" w:space="0" w:color="auto"/>
            <w:right w:val="none" w:sz="0" w:space="0" w:color="auto"/>
          </w:divBdr>
          <w:divsChild>
            <w:div w:id="1164933666">
              <w:marLeft w:val="0"/>
              <w:marRight w:val="0"/>
              <w:marTop w:val="330"/>
              <w:marBottom w:val="0"/>
              <w:divBdr>
                <w:top w:val="none" w:sz="0" w:space="0" w:color="auto"/>
                <w:left w:val="none" w:sz="0" w:space="0" w:color="auto"/>
                <w:bottom w:val="none" w:sz="0" w:space="0" w:color="auto"/>
                <w:right w:val="none" w:sz="0" w:space="0" w:color="auto"/>
              </w:divBdr>
              <w:divsChild>
                <w:div w:id="1654676385">
                  <w:marLeft w:val="0"/>
                  <w:marRight w:val="0"/>
                  <w:marTop w:val="0"/>
                  <w:marBottom w:val="0"/>
                  <w:divBdr>
                    <w:top w:val="none" w:sz="0" w:space="0" w:color="auto"/>
                    <w:left w:val="none" w:sz="0" w:space="0" w:color="auto"/>
                    <w:bottom w:val="none" w:sz="0" w:space="0" w:color="auto"/>
                    <w:right w:val="none" w:sz="0" w:space="0" w:color="auto"/>
                  </w:divBdr>
                  <w:divsChild>
                    <w:div w:id="550962060">
                      <w:marLeft w:val="0"/>
                      <w:marRight w:val="0"/>
                      <w:marTop w:val="0"/>
                      <w:marBottom w:val="0"/>
                      <w:divBdr>
                        <w:top w:val="none" w:sz="0" w:space="0" w:color="auto"/>
                        <w:left w:val="none" w:sz="0" w:space="0" w:color="auto"/>
                        <w:bottom w:val="none" w:sz="0" w:space="0" w:color="auto"/>
                        <w:right w:val="none" w:sz="0" w:space="0" w:color="auto"/>
                      </w:divBdr>
                    </w:div>
                    <w:div w:id="41879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154420">
              <w:marLeft w:val="0"/>
              <w:marRight w:val="0"/>
              <w:marTop w:val="525"/>
              <w:marBottom w:val="0"/>
              <w:divBdr>
                <w:top w:val="none" w:sz="0" w:space="0" w:color="auto"/>
                <w:left w:val="none" w:sz="0" w:space="0" w:color="auto"/>
                <w:bottom w:val="none" w:sz="0" w:space="0" w:color="auto"/>
                <w:right w:val="none" w:sz="0" w:space="0" w:color="auto"/>
              </w:divBdr>
            </w:div>
          </w:divsChild>
        </w:div>
        <w:div w:id="437218362">
          <w:marLeft w:val="0"/>
          <w:marRight w:val="0"/>
          <w:marTop w:val="0"/>
          <w:marBottom w:val="0"/>
          <w:divBdr>
            <w:top w:val="none" w:sz="0" w:space="0" w:color="auto"/>
            <w:left w:val="none" w:sz="0" w:space="0" w:color="auto"/>
            <w:bottom w:val="none" w:sz="0" w:space="0" w:color="auto"/>
            <w:right w:val="none" w:sz="0" w:space="0" w:color="auto"/>
          </w:divBdr>
          <w:divsChild>
            <w:div w:id="528639240">
              <w:marLeft w:val="0"/>
              <w:marRight w:val="0"/>
              <w:marTop w:val="0"/>
              <w:marBottom w:val="0"/>
              <w:divBdr>
                <w:top w:val="none" w:sz="0" w:space="0" w:color="auto"/>
                <w:left w:val="none" w:sz="0" w:space="0" w:color="auto"/>
                <w:bottom w:val="none" w:sz="0" w:space="0" w:color="auto"/>
                <w:right w:val="none" w:sz="0" w:space="0" w:color="auto"/>
              </w:divBdr>
            </w:div>
            <w:div w:id="459305205">
              <w:marLeft w:val="0"/>
              <w:marRight w:val="0"/>
              <w:marTop w:val="0"/>
              <w:marBottom w:val="0"/>
              <w:divBdr>
                <w:top w:val="none" w:sz="0" w:space="0" w:color="auto"/>
                <w:left w:val="none" w:sz="0" w:space="0" w:color="auto"/>
                <w:bottom w:val="none" w:sz="0" w:space="0" w:color="auto"/>
                <w:right w:val="none" w:sz="0" w:space="0" w:color="auto"/>
              </w:divBdr>
            </w:div>
          </w:divsChild>
        </w:div>
        <w:div w:id="1832138650">
          <w:marLeft w:val="0"/>
          <w:marRight w:val="0"/>
          <w:marTop w:val="0"/>
          <w:marBottom w:val="0"/>
          <w:divBdr>
            <w:top w:val="none" w:sz="0" w:space="0" w:color="auto"/>
            <w:left w:val="none" w:sz="0" w:space="0" w:color="auto"/>
            <w:bottom w:val="none" w:sz="0" w:space="0" w:color="auto"/>
            <w:right w:val="none" w:sz="0" w:space="0" w:color="auto"/>
          </w:divBdr>
          <w:divsChild>
            <w:div w:id="10053790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281258960">
      <w:bodyDiv w:val="1"/>
      <w:marLeft w:val="0"/>
      <w:marRight w:val="0"/>
      <w:marTop w:val="0"/>
      <w:marBottom w:val="0"/>
      <w:divBdr>
        <w:top w:val="none" w:sz="0" w:space="0" w:color="auto"/>
        <w:left w:val="none" w:sz="0" w:space="0" w:color="auto"/>
        <w:bottom w:val="none" w:sz="0" w:space="0" w:color="auto"/>
        <w:right w:val="none" w:sz="0" w:space="0" w:color="auto"/>
      </w:divBdr>
    </w:div>
    <w:div w:id="1458061745">
      <w:bodyDiv w:val="1"/>
      <w:marLeft w:val="0"/>
      <w:marRight w:val="0"/>
      <w:marTop w:val="0"/>
      <w:marBottom w:val="0"/>
      <w:divBdr>
        <w:top w:val="none" w:sz="0" w:space="0" w:color="auto"/>
        <w:left w:val="none" w:sz="0" w:space="0" w:color="auto"/>
        <w:bottom w:val="none" w:sz="0" w:space="0" w:color="auto"/>
        <w:right w:val="none" w:sz="0" w:space="0" w:color="auto"/>
      </w:divBdr>
    </w:div>
    <w:div w:id="1894153917">
      <w:bodyDiv w:val="1"/>
      <w:marLeft w:val="0"/>
      <w:marRight w:val="0"/>
      <w:marTop w:val="0"/>
      <w:marBottom w:val="0"/>
      <w:divBdr>
        <w:top w:val="none" w:sz="0" w:space="0" w:color="auto"/>
        <w:left w:val="none" w:sz="0" w:space="0" w:color="auto"/>
        <w:bottom w:val="none" w:sz="0" w:space="0" w:color="auto"/>
        <w:right w:val="none" w:sz="0" w:space="0" w:color="auto"/>
      </w:divBdr>
    </w:div>
    <w:div w:id="2008749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8A614-FC50-4FFE-AC40-0118825F92DA}">
  <ds:schemaRefs>
    <ds:schemaRef ds:uri="http://schemas.microsoft.com/sharepoint/v3/contenttype/forms"/>
  </ds:schemaRefs>
</ds:datastoreItem>
</file>

<file path=customXml/itemProps2.xml><?xml version="1.0" encoding="utf-8"?>
<ds:datastoreItem xmlns:ds="http://schemas.openxmlformats.org/officeDocument/2006/customXml" ds:itemID="{42C2725D-C420-4E46-B6C0-40ED85F1C77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81C720-8312-47E3-A58C-6E6B7F798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9CB5B2D-1CDF-4525-BBDE-A2575C4CF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8356</Words>
  <Characters>4763</Characters>
  <Application>Microsoft Office Word</Application>
  <DocSecurity>0</DocSecurity>
  <Lines>39</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2020 m. Širvintų meno mokyklos direktoriaus ataskaita</vt:lpstr>
      <vt:lpstr> </vt:lpstr>
    </vt:vector>
  </TitlesOfParts>
  <Company>VKS</Company>
  <LinksUpToDate>false</LinksUpToDate>
  <CharactersWithSpaces>13093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m. Širvintų meno mokyklos direktoriaus ataskaita</dc:title>
  <dc:creator>Daiva Vinciūnienė</dc:creator>
  <cp:lastModifiedBy>Sveiki</cp:lastModifiedBy>
  <cp:revision>3</cp:revision>
  <cp:lastPrinted>2021-02-04T12:14:00Z</cp:lastPrinted>
  <dcterms:created xsi:type="dcterms:W3CDTF">2021-03-16T07:13:00Z</dcterms:created>
  <dcterms:modified xsi:type="dcterms:W3CDTF">2021-03-16T07:13:00Z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0x010100D8ECFFBDDA118244861569856C5AC6C3</vt:lpwstr>
  </property>
  <property fmtid="{D5CDD505-2E9C-101B-9397-08002B2CF9AE}" pid="4" name="Komentarai">
    <vt:lpwstr>Pridėta vizavimo metu</vt:lpwstr>
  </property>
</Properties>
</file>